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3C" w:rsidRPr="004A11D8" w:rsidRDefault="0047093C" w:rsidP="0047093C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 w:rsidR="0047093C" w:rsidTr="00CE68D7">
        <w:trPr>
          <w:trHeight w:val="769"/>
        </w:trPr>
        <w:tc>
          <w:tcPr>
            <w:tcW w:w="459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7093C" w:rsidRPr="004A11D8" w:rsidRDefault="0047093C" w:rsidP="00CE68D7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7093C" w:rsidRPr="0047093C" w:rsidTr="00CE68D7">
        <w:trPr>
          <w:trHeight w:val="835"/>
        </w:trPr>
        <w:tc>
          <w:tcPr>
            <w:tcW w:w="459" w:type="dxa"/>
            <w:vAlign w:val="center"/>
          </w:tcPr>
          <w:p w:rsidR="0047093C" w:rsidRPr="0047093C" w:rsidRDefault="0047093C" w:rsidP="00CE68D7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47093C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66" w:type="dxa"/>
            <w:vAlign w:val="center"/>
          </w:tcPr>
          <w:p w:rsidR="0047093C" w:rsidRPr="0047093C" w:rsidRDefault="0047093C" w:rsidP="00CE68D7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7093C">
              <w:rPr>
                <w:rFonts w:ascii="仿宋_GB2312" w:eastAsia="仿宋_GB2312" w:hAnsi="Times New Roman" w:cs="仿宋" w:hint="eastAsia"/>
                <w:sz w:val="24"/>
                <w:szCs w:val="24"/>
              </w:rPr>
              <w:t>西市监处罚【2021】0227号</w:t>
            </w:r>
          </w:p>
        </w:tc>
        <w:tc>
          <w:tcPr>
            <w:tcW w:w="1478" w:type="dxa"/>
            <w:vAlign w:val="center"/>
          </w:tcPr>
          <w:p w:rsidR="0047093C" w:rsidRPr="0047093C" w:rsidRDefault="0047093C" w:rsidP="00CE68D7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7093C">
              <w:rPr>
                <w:rFonts w:ascii="仿宋_GB2312" w:eastAsia="仿宋_GB2312" w:hAnsi="Times New Roman" w:cs="Mongolian Baiti" w:hint="eastAsia"/>
                <w:sz w:val="24"/>
                <w:szCs w:val="24"/>
              </w:rPr>
              <w:t>陕西博弈汽车贸易有限公司违反明码标价案</w:t>
            </w:r>
          </w:p>
        </w:tc>
        <w:tc>
          <w:tcPr>
            <w:tcW w:w="1601" w:type="dxa"/>
            <w:vAlign w:val="center"/>
          </w:tcPr>
          <w:p w:rsidR="0047093C" w:rsidRPr="0047093C" w:rsidRDefault="0047093C" w:rsidP="00CE68D7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7093C">
              <w:rPr>
                <w:rFonts w:ascii="仿宋_GB2312" w:eastAsia="仿宋_GB2312" w:hAnsi="Times New Roman" w:cs="Mongolian Baiti" w:hint="eastAsia"/>
                <w:sz w:val="24"/>
                <w:szCs w:val="24"/>
              </w:rPr>
              <w:t>陕西博弈汽车贸易有限公司</w:t>
            </w:r>
          </w:p>
        </w:tc>
        <w:tc>
          <w:tcPr>
            <w:tcW w:w="2330" w:type="dxa"/>
            <w:vAlign w:val="center"/>
          </w:tcPr>
          <w:p w:rsidR="0047093C" w:rsidRPr="0047093C" w:rsidRDefault="0047093C" w:rsidP="00CE68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47093C">
              <w:rPr>
                <w:rFonts w:ascii="仿宋_GB2312" w:eastAsia="仿宋_GB2312" w:hAnsi="仿宋_GB2312" w:hint="eastAsia"/>
                <w:kern w:val="1"/>
                <w:sz w:val="24"/>
                <w:szCs w:val="24"/>
              </w:rPr>
              <w:t>91610000779947555F</w:t>
            </w:r>
          </w:p>
        </w:tc>
        <w:tc>
          <w:tcPr>
            <w:tcW w:w="1091" w:type="dxa"/>
            <w:vAlign w:val="center"/>
          </w:tcPr>
          <w:p w:rsidR="0047093C" w:rsidRPr="0047093C" w:rsidRDefault="0047093C" w:rsidP="00CE68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7093C">
              <w:rPr>
                <w:rFonts w:ascii="仿宋_GB2312" w:eastAsia="仿宋_GB2312" w:hAnsi="仿宋_GB2312" w:hint="eastAsia"/>
                <w:kern w:val="1"/>
                <w:sz w:val="24"/>
                <w:szCs w:val="24"/>
              </w:rPr>
              <w:t>李春雷</w:t>
            </w:r>
          </w:p>
        </w:tc>
        <w:tc>
          <w:tcPr>
            <w:tcW w:w="2031" w:type="dxa"/>
            <w:vAlign w:val="center"/>
          </w:tcPr>
          <w:p w:rsidR="0047093C" w:rsidRPr="0047093C" w:rsidRDefault="0047093C" w:rsidP="00CE68D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7093C">
              <w:rPr>
                <w:rFonts w:ascii="仿宋_GB2312" w:eastAsia="仿宋_GB2312" w:hAnsi="Times New Roman" w:cs="Mongolian Baiti" w:hint="eastAsia"/>
                <w:sz w:val="24"/>
                <w:szCs w:val="24"/>
              </w:rPr>
              <w:t>在销售现场未明码标价。</w:t>
            </w:r>
          </w:p>
        </w:tc>
        <w:tc>
          <w:tcPr>
            <w:tcW w:w="2268" w:type="dxa"/>
            <w:vAlign w:val="center"/>
          </w:tcPr>
          <w:p w:rsidR="0047093C" w:rsidRPr="0047093C" w:rsidRDefault="0047093C" w:rsidP="0047093C">
            <w:pPr>
              <w:ind w:firstLineChars="100" w:firstLine="24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7093C">
              <w:rPr>
                <w:rFonts w:ascii="仿宋_GB2312" w:eastAsia="仿宋_GB2312" w:hAnsi="仿宋" w:cs="仿宋_GB2312" w:hint="eastAsia"/>
                <w:sz w:val="24"/>
                <w:szCs w:val="24"/>
              </w:rPr>
              <w:t>该公司违反了</w:t>
            </w:r>
            <w:r w:rsidRPr="0047093C">
              <w:rPr>
                <w:rFonts w:ascii="仿宋_GB2312" w:eastAsia="仿宋_GB2312" w:hAnsi="仿宋_GB2312" w:cs="仿宋"/>
                <w:kern w:val="1"/>
                <w:sz w:val="24"/>
                <w:szCs w:val="24"/>
              </w:rPr>
              <w:t>《中华人民共和国价格法》第十三条</w:t>
            </w:r>
            <w:r w:rsidRPr="0047093C">
              <w:rPr>
                <w:rFonts w:ascii="仿宋_GB2312" w:eastAsia="仿宋_GB2312"/>
                <w:sz w:val="24"/>
                <w:szCs w:val="24"/>
              </w:rPr>
              <w:t>，依据《价格违法行为行政处罚规定》第十三条</w:t>
            </w:r>
            <w:r w:rsidRPr="0047093C">
              <w:rPr>
                <w:rFonts w:ascii="仿宋_GB2312" w:eastAsia="仿宋_GB2312" w:hint="eastAsia"/>
                <w:sz w:val="24"/>
                <w:szCs w:val="24"/>
              </w:rPr>
              <w:t>的规定</w:t>
            </w:r>
            <w:r w:rsidRPr="0047093C">
              <w:rPr>
                <w:rFonts w:ascii="仿宋_GB2312" w:eastAsia="仿宋_GB2312"/>
                <w:sz w:val="24"/>
                <w:szCs w:val="24"/>
              </w:rPr>
              <w:t>，对该公司</w:t>
            </w:r>
            <w:r w:rsidRPr="0047093C">
              <w:rPr>
                <w:rFonts w:ascii="仿宋_GB2312" w:eastAsia="仿宋_GB2312" w:hAnsi="Times New Roman" w:cs="Mongolian Baiti" w:hint="eastAsia"/>
                <w:sz w:val="24"/>
                <w:szCs w:val="24"/>
              </w:rPr>
              <w:t>销售现场未明码标价的行为，</w:t>
            </w:r>
            <w:r w:rsidRPr="0047093C">
              <w:rPr>
                <w:rFonts w:ascii="仿宋_GB2312" w:eastAsia="仿宋_GB2312" w:hint="eastAsia"/>
                <w:sz w:val="24"/>
                <w:szCs w:val="24"/>
              </w:rPr>
              <w:t>本局决定对该公司做出罚款5000元。</w:t>
            </w:r>
          </w:p>
        </w:tc>
        <w:tc>
          <w:tcPr>
            <w:tcW w:w="1559" w:type="dxa"/>
            <w:vAlign w:val="center"/>
          </w:tcPr>
          <w:p w:rsidR="0047093C" w:rsidRPr="0047093C" w:rsidRDefault="0047093C" w:rsidP="0047093C">
            <w:pPr>
              <w:ind w:firstLineChars="100" w:firstLine="24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7093C">
              <w:rPr>
                <w:rFonts w:ascii="仿宋_GB2312" w:eastAsia="仿宋_GB2312" w:hint="eastAsia"/>
                <w:sz w:val="24"/>
                <w:szCs w:val="24"/>
              </w:rPr>
              <w:t>该公司应当自收到本行政处罚决定书之日起十五日内，将罚款5000元如数缴至中国工商银行陕西省分行各分支机构。</w:t>
            </w:r>
          </w:p>
        </w:tc>
        <w:tc>
          <w:tcPr>
            <w:tcW w:w="1701" w:type="dxa"/>
            <w:vAlign w:val="center"/>
          </w:tcPr>
          <w:p w:rsidR="0047093C" w:rsidRPr="0047093C" w:rsidRDefault="0047093C" w:rsidP="0047093C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7093C">
              <w:rPr>
                <w:rFonts w:ascii="仿宋_GB2312" w:eastAsia="仿宋_GB2312" w:hint="eastAsia"/>
                <w:sz w:val="24"/>
                <w:szCs w:val="24"/>
              </w:rPr>
              <w:t>2021年9月26日</w:t>
            </w:r>
          </w:p>
        </w:tc>
      </w:tr>
    </w:tbl>
    <w:p w:rsidR="00337141" w:rsidRDefault="00337141"/>
    <w:sectPr w:rsidR="00337141" w:rsidSect="004A11D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31" w:rsidRDefault="007F2C31" w:rsidP="008F00E0">
      <w:r>
        <w:separator/>
      </w:r>
    </w:p>
  </w:endnote>
  <w:endnote w:type="continuationSeparator" w:id="1">
    <w:p w:rsidR="007F2C31" w:rsidRDefault="007F2C31" w:rsidP="008F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31" w:rsidRDefault="007F2C31" w:rsidP="008F00E0">
      <w:r>
        <w:separator/>
      </w:r>
    </w:p>
  </w:footnote>
  <w:footnote w:type="continuationSeparator" w:id="1">
    <w:p w:rsidR="007F2C31" w:rsidRDefault="007F2C31" w:rsidP="008F0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93C"/>
    <w:rsid w:val="00337141"/>
    <w:rsid w:val="003C6C86"/>
    <w:rsid w:val="0047093C"/>
    <w:rsid w:val="007F2C31"/>
    <w:rsid w:val="008F00E0"/>
    <w:rsid w:val="0099014C"/>
    <w:rsid w:val="00B101E6"/>
    <w:rsid w:val="00CB40F8"/>
    <w:rsid w:val="00D5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0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用户执法三大队</dc:creator>
  <cp:lastModifiedBy>用户市场监督综合执法支队</cp:lastModifiedBy>
  <cp:revision>4</cp:revision>
  <dcterms:created xsi:type="dcterms:W3CDTF">2021-09-29T02:08:00Z</dcterms:created>
  <dcterms:modified xsi:type="dcterms:W3CDTF">2021-09-29T02:28:00Z</dcterms:modified>
</cp:coreProperties>
</file>