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</w:t>
            </w:r>
            <w:r>
              <w:rPr>
                <w:rFonts w:hint="eastAsia"/>
                <w:sz w:val="24"/>
                <w:lang w:val="en-US" w:eastAsia="zh-CN"/>
              </w:rPr>
              <w:t>0274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陕西曲江国际饭店有限公司销售超过保质期的食品案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陕西曲江国际饭店有限公司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91610000577847345D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董忠级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销售的1瓶预包装食品“百利甜酒”已超过保质期。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依据《中华人民共和国食品安全法》</w:t>
            </w:r>
            <w:r>
              <w:rPr>
                <w:rFonts w:hint="default"/>
                <w:sz w:val="24"/>
                <w:lang w:val="en-US" w:eastAsia="zh-CN"/>
              </w:rPr>
              <w:t>第一百二十四条</w:t>
            </w:r>
            <w:r>
              <w:rPr>
                <w:rFonts w:hint="eastAsia"/>
                <w:sz w:val="24"/>
                <w:lang w:val="en-US" w:eastAsia="zh-CN"/>
              </w:rPr>
              <w:t>第一款第（五）项之规定，给予没收违法所得、罚款的行政处罚。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1E4D53A7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4BCF487B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2021-11-25T08:37:50Z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03304B22B40D4F1FBB8F203744C50AB0</vt:lpwstr>
  </property>
</Properties>
</file>