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西市监罚告〔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306号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西安曲江新区天之宝餐饮店违反食品安全法案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西安曲江新区天之宝餐饮店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92610133MA6X0C5103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龚小英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经营</w:t>
            </w:r>
            <w:r>
              <w:rPr>
                <w:rFonts w:hint="eastAsia"/>
                <w:bCs/>
                <w:sz w:val="24"/>
              </w:rPr>
              <w:t>混有异物的食品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根据《中华人民共和国食品安全法》第一百二十四条规定，第一百二十六条第一款第六条、第十三条规定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98D3AB8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8DE31AC"/>
    <w:rsid w:val="5C0B0178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2021-11-25T08:32:55Z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55B79AD2D48C45D38341A77D371CD0A1</vt:lpwstr>
  </property>
</Properties>
</file>