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西市监处罚〔2021〕0310号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陕西宝露堂医药有限公司西安第十五分公司销售劣药案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陕西宝露堂医药有限公司西安第十五分公司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91610116MA6U3GU81Q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苏利华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销售劣药“复方感冒灵颗粒”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依据《中华人民共和国药品管理法实施条例》第七十五条之规定，没收违法所得。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2021年11月23日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38A6C72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52DA3410"/>
    <w:rsid w:val="58DE31AC"/>
    <w:rsid w:val="5C0B0178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2021-11-25T08:35:04Z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E0937FA5AF3548DC8FF2B85038B77EAD</vt:lpwstr>
  </property>
</Properties>
</file>