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2"/>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899"/>
        <w:gridCol w:w="955"/>
        <w:gridCol w:w="1200"/>
        <w:gridCol w:w="1091"/>
        <w:gridCol w:w="750"/>
        <w:gridCol w:w="6545"/>
        <w:gridCol w:w="1445"/>
        <w:gridCol w:w="1964"/>
        <w:gridCol w:w="6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899"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955"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200"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1091"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统一信用代码</w:t>
            </w:r>
          </w:p>
        </w:tc>
        <w:tc>
          <w:tcPr>
            <w:tcW w:w="750"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6545"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1445"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1964"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676"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noWrap w:val="0"/>
            <w:vAlign w:val="center"/>
          </w:tcPr>
          <w:p>
            <w:pPr>
              <w:jc w:val="center"/>
              <w:rPr>
                <w:rFonts w:ascii="仿宋_GB2312" w:hAnsi="Calibri" w:eastAsia="仿宋_GB2312"/>
                <w:bCs/>
                <w:szCs w:val="21"/>
              </w:rPr>
            </w:pPr>
            <w:r>
              <w:rPr>
                <w:rFonts w:hint="eastAsia" w:ascii="仿宋_GB2312" w:hAnsi="Calibri" w:eastAsia="仿宋_GB2312"/>
                <w:bCs/>
                <w:szCs w:val="21"/>
              </w:rPr>
              <w:t>1</w:t>
            </w:r>
          </w:p>
        </w:tc>
        <w:tc>
          <w:tcPr>
            <w:tcW w:w="899" w:type="dxa"/>
            <w:noWrap w:val="0"/>
            <w:vAlign w:val="center"/>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sz w:val="24"/>
                <w:szCs w:val="24"/>
                <w:lang w:eastAsia="zh-CN"/>
              </w:rPr>
              <w:t>西市监处罚[202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0042</w:t>
            </w:r>
            <w:r>
              <w:rPr>
                <w:rFonts w:hint="eastAsia" w:ascii="仿宋_GB2312" w:hAnsi="仿宋_GB2312" w:eastAsia="仿宋_GB2312" w:cs="仿宋_GB2312"/>
                <w:sz w:val="24"/>
                <w:szCs w:val="24"/>
                <w:lang w:eastAsia="zh-CN"/>
              </w:rPr>
              <w:t>号</w:t>
            </w:r>
          </w:p>
          <w:p>
            <w:pPr>
              <w:jc w:val="center"/>
              <w:rPr>
                <w:rFonts w:hint="eastAsia" w:ascii="仿宋_GB2312" w:hAnsi="仿宋_GB2312" w:eastAsia="仿宋_GB2312" w:cs="仿宋_GB2312"/>
                <w:sz w:val="24"/>
                <w:szCs w:val="24"/>
                <w:lang w:eastAsia="zh-CN"/>
              </w:rPr>
            </w:pPr>
          </w:p>
        </w:tc>
        <w:tc>
          <w:tcPr>
            <w:tcW w:w="95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瑞庭网络技术（上海）有限公司西安分公司</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对规划或者建设中的文化教育设施作误导宣传案</w:t>
            </w:r>
          </w:p>
        </w:tc>
        <w:tc>
          <w:tcPr>
            <w:tcW w:w="120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瑞庭网络技术（上海）有限公司西安分公司</w:t>
            </w:r>
          </w:p>
          <w:p>
            <w:pPr>
              <w:jc w:val="center"/>
              <w:rPr>
                <w:rFonts w:hint="eastAsia" w:ascii="仿宋_GB2312" w:hAnsi="仿宋_GB2312" w:eastAsia="仿宋_GB2312" w:cs="仿宋_GB2312"/>
                <w:sz w:val="24"/>
                <w:szCs w:val="24"/>
              </w:rPr>
            </w:pPr>
          </w:p>
        </w:tc>
        <w:tc>
          <w:tcPr>
            <w:tcW w:w="1091" w:type="dxa"/>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91610103566026330R</w:t>
            </w:r>
          </w:p>
        </w:tc>
        <w:tc>
          <w:tcPr>
            <w:tcW w:w="750" w:type="dxa"/>
            <w:noWrap w:val="0"/>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 xml:space="preserve">杜岩 </w:t>
            </w:r>
          </w:p>
        </w:tc>
        <w:tc>
          <w:tcPr>
            <w:tcW w:w="6545" w:type="dxa"/>
            <w:noWrap w:val="0"/>
            <w:vAlign w:val="center"/>
          </w:tcPr>
          <w:p>
            <w:pPr>
              <w:widowControl/>
              <w:ind w:firstLine="360" w:firstLineChars="20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当事人瑞庭网络技术（上海）有限公司西安分公司依托“安居客（网址https://xa.anjuke.com）”网络平台，与房地产中介公司就网络推广相关事宜，签订服务单（即《58安居客网络服务单》）。约定房地产中介公司在“安居客”的二手房板块发布由其代理的房源信息。双方约定：自甲方（房地产中介公司）支付服务费用且提供所需资质文件并经乙方（瑞庭网络技术（上海）有限公司西安分公司）审核通过之日起生效，至甲方所购买的推广服务时长期满时终止，收费分别为92天2000元、2700元和3250元三个标准（在春节、元旦等特殊节日，会进行打折销售）。</w:t>
            </w:r>
          </w:p>
          <w:p>
            <w:pPr>
              <w:widowControl/>
              <w:ind w:firstLine="360" w:firstLineChars="20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因陕西聚赢科创企业管理咨询有限公司员工李金格在“安居客”二手房板块发布“精装修 唐延路 钱学森 书香云锦 地铁口”的房源信息，并在核心卖点中说明“带钱学森二小、二中学位”；陕西好房索引网络科技有限公司员工李伸伸在“安居客”二手房板块发布“钱学森 双指标 书香云锦 三条地铁线 唐延路”的房源信息，并在核心卖点中说明“带钱学森二小、二中学位”。经执法人员进一步调查取证，西安高新钱学森第二小学位于雁塔区科技四路，而西安高新钱学森第二中学并未修建，所以陕西聚赢科创企业管理咨询有限公司员工李金格和陕西好房索引网络科技有限公司员工李伸伸在“安居客”二手房板块发布的“书香云锦”的房源信息属于误导消费者。</w:t>
            </w:r>
            <w:bookmarkStart w:id="0" w:name="_GoBack"/>
            <w:bookmarkEnd w:id="0"/>
          </w:p>
        </w:tc>
        <w:tc>
          <w:tcPr>
            <w:tcW w:w="1445" w:type="dxa"/>
            <w:noWrap w:val="0"/>
            <w:vAlign w:val="center"/>
          </w:tcPr>
          <w:p>
            <w:pPr>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罚款人民币拾陆万（160,000）元整。</w:t>
            </w:r>
          </w:p>
          <w:p>
            <w:pPr>
              <w:ind w:firstLine="360" w:firstLineChars="200"/>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依据《中华人民共和国广告法》第五十八条第一款第八项、《中华人民共和国广告法》第五十八条第三款以及《陕西省市场监督管理局行政处罚裁量权适用规则》第十二条的规定。</w:t>
            </w:r>
          </w:p>
          <w:p>
            <w:pPr>
              <w:ind w:firstLine="360" w:firstLineChars="200"/>
              <w:jc w:val="left"/>
              <w:rPr>
                <w:rFonts w:hint="eastAsia" w:ascii="仿宋_GB2312" w:hAnsi="仿宋_GB2312" w:eastAsia="仿宋_GB2312" w:cs="仿宋_GB2312"/>
                <w:sz w:val="18"/>
                <w:szCs w:val="18"/>
                <w:lang w:eastAsia="zh-CN"/>
              </w:rPr>
            </w:pPr>
          </w:p>
        </w:tc>
        <w:tc>
          <w:tcPr>
            <w:tcW w:w="1964" w:type="dxa"/>
            <w:noWrap w:val="0"/>
            <w:vAlign w:val="center"/>
          </w:tcPr>
          <w:p>
            <w:pPr>
              <w:ind w:firstLine="180" w:firstLineChars="1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当事人应在收到本处罚决定书之日起十五日内，到西安市内中国工商银行陕西省分行任何一家营业部（陕西省非税收入待解缴科目：3700020111900211906）缴纳罚款。到期不缴纳罚款的，依据《中华人民共和国行政处罚法》第七十二条的规定，本局（队）将每日按罚款数额的百分之三加处罚款，并依法申请人民法院强制执行。</w:t>
            </w:r>
          </w:p>
          <w:p>
            <w:pPr>
              <w:ind w:firstLine="180" w:firstLineChars="100"/>
              <w:jc w:val="left"/>
              <w:rPr>
                <w:rFonts w:hint="eastAsia" w:ascii="仿宋_GB2312" w:hAnsi="仿宋_GB2312" w:eastAsia="仿宋_GB2312" w:cs="仿宋_GB2312"/>
                <w:sz w:val="18"/>
                <w:szCs w:val="18"/>
              </w:rPr>
            </w:pPr>
          </w:p>
        </w:tc>
        <w:tc>
          <w:tcPr>
            <w:tcW w:w="676" w:type="dxa"/>
            <w:noWrap w:val="0"/>
            <w:vAlign w:val="center"/>
          </w:tcPr>
          <w:p>
            <w:pPr>
              <w:jc w:val="center"/>
              <w:rPr>
                <w:rFonts w:hint="default" w:ascii="仿宋_GB2312" w:hAnsi="Calibri" w:eastAsia="仿宋_GB2312"/>
                <w:szCs w:val="21"/>
                <w:lang w:val="en-US" w:eastAsia="zh-CN"/>
              </w:rPr>
            </w:pPr>
            <w:r>
              <w:rPr>
                <w:rFonts w:hint="eastAsia" w:ascii="仿宋_GB2312" w:hAnsi="仿宋_GB2312" w:eastAsia="仿宋_GB2312" w:cs="仿宋_GB2312"/>
                <w:sz w:val="24"/>
                <w:szCs w:val="24"/>
                <w:lang w:val="en-US" w:eastAsia="zh-CN"/>
              </w:rPr>
              <w:t>2022年2月18日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trPr>
        <w:tc>
          <w:tcPr>
            <w:tcW w:w="459" w:type="dxa"/>
            <w:noWrap w:val="0"/>
            <w:vAlign w:val="center"/>
          </w:tcPr>
          <w:p>
            <w:pPr>
              <w:jc w:val="center"/>
              <w:rPr>
                <w:rFonts w:ascii="仿宋_GB2312" w:eastAsia="仿宋_GB2312"/>
                <w:bCs/>
                <w:szCs w:val="21"/>
              </w:rPr>
            </w:pPr>
          </w:p>
        </w:tc>
        <w:tc>
          <w:tcPr>
            <w:tcW w:w="899" w:type="dxa"/>
            <w:noWrap w:val="0"/>
            <w:vAlign w:val="center"/>
          </w:tcPr>
          <w:p>
            <w:pPr>
              <w:jc w:val="center"/>
              <w:rPr>
                <w:rFonts w:ascii="仿宋_GB2312" w:eastAsia="仿宋_GB2312"/>
                <w:szCs w:val="21"/>
              </w:rPr>
            </w:pPr>
          </w:p>
        </w:tc>
        <w:tc>
          <w:tcPr>
            <w:tcW w:w="955" w:type="dxa"/>
            <w:noWrap w:val="0"/>
            <w:vAlign w:val="center"/>
          </w:tcPr>
          <w:p>
            <w:pPr>
              <w:jc w:val="center"/>
              <w:rPr>
                <w:rFonts w:ascii="仿宋_GB2312" w:eastAsia="仿宋_GB2312"/>
                <w:szCs w:val="21"/>
              </w:rPr>
            </w:pPr>
          </w:p>
        </w:tc>
        <w:tc>
          <w:tcPr>
            <w:tcW w:w="1200" w:type="dxa"/>
            <w:noWrap w:val="0"/>
            <w:vAlign w:val="center"/>
          </w:tcPr>
          <w:p>
            <w:pPr>
              <w:jc w:val="center"/>
              <w:rPr>
                <w:rFonts w:ascii="仿宋_GB2312" w:eastAsia="仿宋_GB2312"/>
                <w:szCs w:val="21"/>
              </w:rPr>
            </w:pPr>
          </w:p>
        </w:tc>
        <w:tc>
          <w:tcPr>
            <w:tcW w:w="1091" w:type="dxa"/>
            <w:noWrap w:val="0"/>
            <w:vAlign w:val="center"/>
          </w:tcPr>
          <w:p>
            <w:pPr>
              <w:widowControl/>
              <w:jc w:val="center"/>
              <w:textAlignment w:val="center"/>
              <w:rPr>
                <w:rFonts w:ascii="Arial" w:hAnsi="Arial" w:cs="Arial"/>
                <w:color w:val="000000"/>
                <w:sz w:val="20"/>
              </w:rPr>
            </w:pPr>
          </w:p>
        </w:tc>
        <w:tc>
          <w:tcPr>
            <w:tcW w:w="750" w:type="dxa"/>
            <w:noWrap w:val="0"/>
            <w:vAlign w:val="center"/>
          </w:tcPr>
          <w:p>
            <w:pPr>
              <w:widowControl/>
              <w:jc w:val="center"/>
              <w:textAlignment w:val="center"/>
              <w:rPr>
                <w:rFonts w:ascii="宋体" w:hAnsi="宋体" w:cs="宋体"/>
                <w:color w:val="000000"/>
                <w:sz w:val="20"/>
              </w:rPr>
            </w:pPr>
          </w:p>
        </w:tc>
        <w:tc>
          <w:tcPr>
            <w:tcW w:w="6545" w:type="dxa"/>
            <w:noWrap w:val="0"/>
            <w:vAlign w:val="center"/>
          </w:tcPr>
          <w:p>
            <w:pPr>
              <w:widowControl/>
              <w:jc w:val="left"/>
              <w:textAlignment w:val="center"/>
              <w:rPr>
                <w:rFonts w:ascii="宋体" w:hAnsi="宋体" w:cs="宋体"/>
                <w:color w:val="000000"/>
                <w:sz w:val="20"/>
              </w:rPr>
            </w:pPr>
          </w:p>
        </w:tc>
        <w:tc>
          <w:tcPr>
            <w:tcW w:w="1445" w:type="dxa"/>
            <w:noWrap w:val="0"/>
            <w:vAlign w:val="center"/>
          </w:tcPr>
          <w:p>
            <w:pPr>
              <w:ind w:firstLine="320" w:firstLineChars="100"/>
              <w:jc w:val="left"/>
              <w:rPr>
                <w:rFonts w:ascii="仿宋_GB2312" w:eastAsia="仿宋_GB2312"/>
                <w:szCs w:val="21"/>
              </w:rPr>
            </w:pPr>
          </w:p>
        </w:tc>
        <w:tc>
          <w:tcPr>
            <w:tcW w:w="1964" w:type="dxa"/>
            <w:noWrap w:val="0"/>
            <w:vAlign w:val="center"/>
          </w:tcPr>
          <w:p>
            <w:pPr>
              <w:ind w:firstLine="320" w:firstLineChars="100"/>
              <w:jc w:val="left"/>
              <w:rPr>
                <w:rFonts w:ascii="仿宋_GB2312" w:eastAsia="仿宋_GB2312"/>
                <w:szCs w:val="21"/>
              </w:rPr>
            </w:pPr>
          </w:p>
        </w:tc>
        <w:tc>
          <w:tcPr>
            <w:tcW w:w="676" w:type="dxa"/>
            <w:noWrap w:val="0"/>
            <w:vAlign w:val="center"/>
          </w:tcPr>
          <w:p>
            <w:pPr>
              <w:jc w:val="center"/>
              <w:rPr>
                <w:rFonts w:ascii="仿宋_GB2312" w:eastAsia="仿宋_GB2312"/>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32FE"/>
    <w:rsid w:val="08C65096"/>
    <w:rsid w:val="0DED62DF"/>
    <w:rsid w:val="28770B09"/>
    <w:rsid w:val="35583148"/>
    <w:rsid w:val="487877F8"/>
    <w:rsid w:val="4BFE3061"/>
    <w:rsid w:val="5A80010A"/>
    <w:rsid w:val="5B24313F"/>
    <w:rsid w:val="5FDA624B"/>
    <w:rsid w:val="62C612C9"/>
    <w:rsid w:val="64EF4547"/>
    <w:rsid w:val="713772AD"/>
    <w:rsid w:val="73245C89"/>
    <w:rsid w:val="759E7895"/>
    <w:rsid w:val="7A7B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2022-01-13T03:46:00Z</dcterms:created>
  <dc:creator>lenovo</dc:creator>
  <cp:lastModifiedBy>匚圆几里</cp:lastModifiedBy>
  <cp:lastPrinted>2022-03-08T06:27:00Z</cp:lastPrinted>
  <dcterms:modified xsi:type="dcterms:W3CDTF">2022-03-08T07:06:13Z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E6526559F1594C3C8F685040B668820D</vt:lpwstr>
  </property>
</Properties>
</file>