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36"/>
          <w:szCs w:val="36"/>
        </w:rPr>
      </w:pPr>
      <w:r>
        <w:rPr>
          <w:rFonts w:hint="eastAsia" w:ascii="黑体" w:hAnsi="Calibri" w:eastAsia="黑体"/>
          <w:sz w:val="36"/>
          <w:szCs w:val="36"/>
        </w:rPr>
        <w:t>行政处罚案件信息公开表</w:t>
      </w:r>
    </w:p>
    <w:tbl>
      <w:tblPr>
        <w:tblStyle w:val="2"/>
        <w:tblpPr w:leftFromText="180" w:rightFromText="180" w:vertAnchor="text" w:horzAnchor="page" w:tblpXSpec="center" w:tblpY="309"/>
        <w:tblOverlap w:val="never"/>
        <w:tblW w:w="15984"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459"/>
        <w:gridCol w:w="899"/>
        <w:gridCol w:w="955"/>
        <w:gridCol w:w="1200"/>
        <w:gridCol w:w="1091"/>
        <w:gridCol w:w="750"/>
        <w:gridCol w:w="6545"/>
        <w:gridCol w:w="1445"/>
        <w:gridCol w:w="1964"/>
        <w:gridCol w:w="67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73" w:hRule="atLeast"/>
        </w:trPr>
        <w:tc>
          <w:tcPr>
            <w:tcW w:w="459" w:type="dxa"/>
            <w:noWrap w:val="0"/>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序</w:t>
            </w:r>
          </w:p>
          <w:p>
            <w:pPr>
              <w:spacing w:line="280" w:lineRule="exact"/>
              <w:jc w:val="center"/>
              <w:rPr>
                <w:rFonts w:ascii="黑体" w:hAnsi="黑体" w:eastAsia="黑体"/>
                <w:spacing w:val="-8"/>
                <w:sz w:val="28"/>
                <w:szCs w:val="28"/>
              </w:rPr>
            </w:pPr>
            <w:r>
              <w:rPr>
                <w:rFonts w:hint="eastAsia" w:ascii="黑体" w:hAnsi="黑体" w:eastAsia="黑体"/>
                <w:spacing w:val="-8"/>
                <w:sz w:val="28"/>
                <w:szCs w:val="28"/>
              </w:rPr>
              <w:t>号</w:t>
            </w:r>
          </w:p>
        </w:tc>
        <w:tc>
          <w:tcPr>
            <w:tcW w:w="899" w:type="dxa"/>
            <w:noWrap w:val="0"/>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行政处罚决定</w:t>
            </w:r>
          </w:p>
          <w:p>
            <w:pPr>
              <w:spacing w:line="280" w:lineRule="exact"/>
              <w:jc w:val="center"/>
              <w:rPr>
                <w:rFonts w:ascii="黑体" w:hAnsi="黑体" w:eastAsia="黑体"/>
                <w:spacing w:val="-8"/>
                <w:sz w:val="28"/>
                <w:szCs w:val="28"/>
              </w:rPr>
            </w:pPr>
            <w:r>
              <w:rPr>
                <w:rFonts w:hint="eastAsia" w:ascii="黑体" w:hAnsi="黑体" w:eastAsia="黑体"/>
                <w:spacing w:val="-8"/>
                <w:sz w:val="28"/>
                <w:szCs w:val="28"/>
              </w:rPr>
              <w:t>文书号</w:t>
            </w:r>
          </w:p>
        </w:tc>
        <w:tc>
          <w:tcPr>
            <w:tcW w:w="955" w:type="dxa"/>
            <w:noWrap w:val="0"/>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案件名称</w:t>
            </w:r>
          </w:p>
        </w:tc>
        <w:tc>
          <w:tcPr>
            <w:tcW w:w="1200" w:type="dxa"/>
            <w:noWrap w:val="0"/>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违法企业名称或违法自然人姓名</w:t>
            </w:r>
          </w:p>
        </w:tc>
        <w:tc>
          <w:tcPr>
            <w:tcW w:w="1091" w:type="dxa"/>
            <w:noWrap w:val="0"/>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违法企业</w:t>
            </w:r>
          </w:p>
          <w:p>
            <w:pPr>
              <w:spacing w:line="280" w:lineRule="exact"/>
              <w:jc w:val="center"/>
              <w:rPr>
                <w:rFonts w:ascii="黑体" w:hAnsi="黑体" w:eastAsia="黑体"/>
                <w:spacing w:val="-8"/>
                <w:sz w:val="28"/>
                <w:szCs w:val="28"/>
              </w:rPr>
            </w:pPr>
            <w:r>
              <w:rPr>
                <w:rFonts w:hint="eastAsia" w:ascii="黑体" w:hAnsi="黑体" w:eastAsia="黑体"/>
                <w:spacing w:val="-8"/>
                <w:sz w:val="28"/>
                <w:szCs w:val="28"/>
              </w:rPr>
              <w:t>统一信用代码</w:t>
            </w:r>
          </w:p>
        </w:tc>
        <w:tc>
          <w:tcPr>
            <w:tcW w:w="750" w:type="dxa"/>
            <w:noWrap w:val="0"/>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法定代表人姓名</w:t>
            </w:r>
          </w:p>
        </w:tc>
        <w:tc>
          <w:tcPr>
            <w:tcW w:w="6545" w:type="dxa"/>
            <w:noWrap w:val="0"/>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主要违法事实</w:t>
            </w:r>
          </w:p>
        </w:tc>
        <w:tc>
          <w:tcPr>
            <w:tcW w:w="1445" w:type="dxa"/>
            <w:noWrap w:val="0"/>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行政处罚的种类和依据</w:t>
            </w:r>
          </w:p>
        </w:tc>
        <w:tc>
          <w:tcPr>
            <w:tcW w:w="1964" w:type="dxa"/>
            <w:noWrap w:val="0"/>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行政处罚的履行方式和期限</w:t>
            </w:r>
          </w:p>
        </w:tc>
        <w:tc>
          <w:tcPr>
            <w:tcW w:w="676" w:type="dxa"/>
            <w:noWrap w:val="0"/>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作出处罚</w:t>
            </w:r>
          </w:p>
          <w:p>
            <w:pPr>
              <w:spacing w:line="280" w:lineRule="exact"/>
              <w:jc w:val="center"/>
              <w:rPr>
                <w:rFonts w:ascii="黑体" w:hAnsi="黑体" w:eastAsia="黑体"/>
                <w:spacing w:val="-8"/>
                <w:sz w:val="28"/>
                <w:szCs w:val="28"/>
              </w:rPr>
            </w:pPr>
            <w:r>
              <w:rPr>
                <w:rFonts w:hint="eastAsia" w:ascii="黑体" w:hAnsi="黑体" w:eastAsia="黑体"/>
                <w:spacing w:val="-8"/>
                <w:sz w:val="28"/>
                <w:szCs w:val="28"/>
              </w:rPr>
              <w:t>的日期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35" w:hRule="atLeast"/>
        </w:trPr>
        <w:tc>
          <w:tcPr>
            <w:tcW w:w="459" w:type="dxa"/>
            <w:noWrap w:val="0"/>
            <w:vAlign w:val="center"/>
          </w:tcPr>
          <w:p>
            <w:pPr>
              <w:jc w:val="center"/>
              <w:rPr>
                <w:rFonts w:ascii="仿宋_GB2312" w:hAnsi="Calibri" w:eastAsia="仿宋_GB2312"/>
                <w:bCs/>
                <w:szCs w:val="21"/>
              </w:rPr>
            </w:pPr>
            <w:r>
              <w:rPr>
                <w:rFonts w:hint="eastAsia" w:ascii="仿宋_GB2312" w:hAnsi="Calibri" w:eastAsia="仿宋_GB2312"/>
                <w:bCs/>
                <w:szCs w:val="21"/>
              </w:rPr>
              <w:t>1</w:t>
            </w:r>
          </w:p>
        </w:tc>
        <w:tc>
          <w:tcPr>
            <w:tcW w:w="899" w:type="dxa"/>
            <w:noWrap w:val="0"/>
            <w:vAlign w:val="center"/>
          </w:tcPr>
          <w:p>
            <w:pPr>
              <w:jc w:val="center"/>
              <w:rPr>
                <w:rFonts w:hint="eastAsia" w:ascii="仿宋_GB2312" w:hAnsi="仿宋_GB2312" w:eastAsia="仿宋_GB2312" w:cs="仿宋_GB2312"/>
                <w:sz w:val="24"/>
                <w:szCs w:val="24"/>
                <w:lang w:eastAsia="zh-CN"/>
              </w:rPr>
            </w:pPr>
          </w:p>
          <w:p>
            <w:pPr>
              <w:jc w:val="center"/>
              <w:rPr>
                <w:rFonts w:hint="eastAsia" w:ascii="仿宋_GB2312" w:hAnsi="仿宋_GB2312" w:eastAsia="仿宋_GB2312" w:cs="仿宋_GB2312"/>
                <w:sz w:val="24"/>
                <w:szCs w:val="24"/>
                <w:lang w:eastAsia="zh-CN"/>
              </w:rPr>
            </w:pPr>
          </w:p>
          <w:p>
            <w:pPr>
              <w:jc w:val="center"/>
              <w:rPr>
                <w:rFonts w:hint="eastAsia" w:ascii="仿宋_GB2312" w:hAnsi="仿宋_GB2312" w:eastAsia="仿宋_GB2312" w:cs="仿宋_GB2312"/>
                <w:sz w:val="24"/>
                <w:szCs w:val="24"/>
                <w:lang w:eastAsia="zh-CN"/>
              </w:rPr>
            </w:pPr>
          </w:p>
          <w:p>
            <w:pPr>
              <w:jc w:val="center"/>
              <w:rPr>
                <w:rFonts w:hint="eastAsia" w:ascii="仿宋_GB2312" w:hAnsi="仿宋_GB2312" w:eastAsia="仿宋_GB2312" w:cs="仿宋_GB2312"/>
                <w:sz w:val="24"/>
                <w:szCs w:val="24"/>
                <w:lang w:eastAsia="zh-CN"/>
              </w:rPr>
            </w:pPr>
          </w:p>
          <w:p>
            <w:pPr>
              <w:jc w:val="center"/>
              <w:rPr>
                <w:rFonts w:hint="eastAsia" w:ascii="仿宋_GB2312" w:hAnsi="仿宋_GB2312" w:eastAsia="仿宋_GB2312" w:cs="仿宋_GB2312"/>
                <w:sz w:val="24"/>
                <w:szCs w:val="24"/>
                <w:lang w:eastAsia="zh-CN"/>
              </w:rPr>
            </w:pPr>
          </w:p>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LXiia2gAAAAsBAAAPAAAAAAAAAAEAIAAAACIAAABk&#10;cnMvZG93bnJldi54bWxQSwECFAAUAAAACACHTuJA5sQT9gQCAAD+AwAADgAAAAAAAAABACAAAAAp&#10;AQAAZHJzL2Uyb0RvYy54bWxQSwUGAAAAAAYABgBZAQAAnwUAAAAA&#10;">
                      <v:fill on="f" focussize="0,0"/>
                      <v:stroke weight="1.5pt" color="#000000" joinstyle="round" endcap="square"/>
                      <v:imagedata o:title=""/>
                      <o:lock v:ext="edit" aspectratio="f"/>
                    </v:shape>
                  </w:pict>
                </mc:Fallback>
              </mc:AlternateContent>
            </w:r>
            <w:r>
              <w:rPr>
                <w:rFonts w:hint="eastAsia" w:ascii="仿宋_GB2312" w:hAnsi="仿宋_GB2312" w:eastAsia="仿宋_GB2312" w:cs="仿宋_GB2312"/>
                <w:sz w:val="24"/>
                <w:szCs w:val="24"/>
                <w:lang w:eastAsia="zh-CN"/>
              </w:rPr>
              <w:t>西市监处罚[202</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0042</w:t>
            </w:r>
            <w:r>
              <w:rPr>
                <w:rFonts w:hint="eastAsia" w:ascii="仿宋_GB2312" w:hAnsi="仿宋_GB2312" w:eastAsia="仿宋_GB2312" w:cs="仿宋_GB2312"/>
                <w:sz w:val="24"/>
                <w:szCs w:val="24"/>
                <w:lang w:eastAsia="zh-CN"/>
              </w:rPr>
              <w:t>号</w:t>
            </w:r>
          </w:p>
          <w:p>
            <w:pPr>
              <w:jc w:val="center"/>
              <w:rPr>
                <w:rFonts w:hint="eastAsia" w:ascii="仿宋_GB2312" w:hAnsi="仿宋_GB2312" w:eastAsia="仿宋_GB2312" w:cs="仿宋_GB2312"/>
                <w:sz w:val="24"/>
                <w:szCs w:val="24"/>
                <w:lang w:eastAsia="zh-CN"/>
              </w:rPr>
            </w:pPr>
          </w:p>
        </w:tc>
        <w:tc>
          <w:tcPr>
            <w:tcW w:w="955"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瑞庭网络技术（上海）有限公司西安分公司</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对规划或者建设中的文化教育设施作误导宣传案</w:t>
            </w:r>
          </w:p>
        </w:tc>
        <w:tc>
          <w:tcPr>
            <w:tcW w:w="1200"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瑞庭网络技术（上海）有限公司西安分公司</w:t>
            </w:r>
          </w:p>
          <w:p>
            <w:pPr>
              <w:jc w:val="center"/>
              <w:rPr>
                <w:rFonts w:hint="eastAsia" w:ascii="仿宋_GB2312" w:hAnsi="仿宋_GB2312" w:eastAsia="仿宋_GB2312" w:cs="仿宋_GB2312"/>
                <w:sz w:val="24"/>
                <w:szCs w:val="24"/>
              </w:rPr>
            </w:pPr>
          </w:p>
        </w:tc>
        <w:tc>
          <w:tcPr>
            <w:tcW w:w="1091" w:type="dxa"/>
            <w:noWrap w:val="0"/>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91610103566026330R</w:t>
            </w:r>
          </w:p>
        </w:tc>
        <w:tc>
          <w:tcPr>
            <w:tcW w:w="750" w:type="dxa"/>
            <w:noWrap w:val="0"/>
            <w:vAlign w:val="center"/>
          </w:tcPr>
          <w:p>
            <w:pPr>
              <w:widowControl/>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 xml:space="preserve">杜岩 </w:t>
            </w:r>
          </w:p>
        </w:tc>
        <w:tc>
          <w:tcPr>
            <w:tcW w:w="6545" w:type="dxa"/>
            <w:noWrap w:val="0"/>
            <w:vAlign w:val="center"/>
          </w:tcPr>
          <w:p>
            <w:pPr>
              <w:widowControl/>
              <w:ind w:firstLine="360" w:firstLineChars="200"/>
              <w:jc w:val="left"/>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当事人瑞庭网络技术（上海）有限公司西安分公司依托“安居客（网址https://xa.anjuke.com）”网络平台，与房地产中介公司就网络推广相关事宜，签订服务单（即《58安居客网络服务单》）。约定房地产中介公司在“安居客”的二手房板块发布由其代理的房源信息。双方约定：自甲方（房地产中介公司）支付服务费用且提供所需资质文件并经乙方（瑞庭网络技术（上海）有限公司西安分公司）审核通过之日起生效，至甲方所购买的推广服务时长期满时终止，收费分别为92天2000元、2700元和3250元三个标准（在春节、元旦等特殊节日，会进行打折销售）。</w:t>
            </w:r>
          </w:p>
          <w:p>
            <w:pPr>
              <w:widowControl/>
              <w:ind w:firstLine="360" w:firstLineChars="200"/>
              <w:jc w:val="left"/>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因陕西聚赢科创企业管理咨询有限公司员工李金格在“安居客”二手房板块发布“精装修 唐延路 钱学森 书香云锦 地铁口”的房源信息，并在核心卖点中说明“带钱学森二小、二中学位”；陕西好房索引网络科技有限公司员工李伸伸在“安居客”二手房板块发布“钱学森 双指标 书香云锦 三条地铁线 唐延路”的房源信息，并在核心卖点中说明“带钱学森二小、二中学位”。经执法人员进一步调查取证，西安高新钱学森第二小学位于雁塔区科技四路，而西安高新钱学森第二中学并未修建，所以陕西聚赢科创企业管理咨询有限公司员工李金格和陕西好房索引网络科技有限公司员工李伸伸在“安居客”二手房板块发布的“书香云锦”的房源信息属于误导消费者。</w:t>
            </w:r>
            <w:bookmarkStart w:id="0" w:name="_GoBack"/>
            <w:bookmarkEnd w:id="0"/>
          </w:p>
        </w:tc>
        <w:tc>
          <w:tcPr>
            <w:tcW w:w="1445" w:type="dxa"/>
            <w:noWrap w:val="0"/>
            <w:vAlign w:val="center"/>
          </w:tcPr>
          <w:p>
            <w:pPr>
              <w:ind w:firstLine="360" w:firstLineChars="20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罚款人民币拾陆万（160,000）元整。</w:t>
            </w:r>
          </w:p>
          <w:p>
            <w:pPr>
              <w:ind w:firstLine="360" w:firstLineChars="200"/>
              <w:jc w:val="left"/>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依据《中华人民共和国广告法》第五十八条第一款第八项、《中华人民共和国广告法》第五十八条第三款以及《陕西省市场监督管理局行政处罚裁量权适用规则》第十二条的规定。</w:t>
            </w:r>
          </w:p>
          <w:p>
            <w:pPr>
              <w:ind w:firstLine="360" w:firstLineChars="200"/>
              <w:jc w:val="left"/>
              <w:rPr>
                <w:rFonts w:hint="eastAsia" w:ascii="仿宋_GB2312" w:hAnsi="仿宋_GB2312" w:eastAsia="仿宋_GB2312" w:cs="仿宋_GB2312"/>
                <w:sz w:val="18"/>
                <w:szCs w:val="18"/>
                <w:lang w:eastAsia="zh-CN"/>
              </w:rPr>
            </w:pPr>
          </w:p>
        </w:tc>
        <w:tc>
          <w:tcPr>
            <w:tcW w:w="1964" w:type="dxa"/>
            <w:noWrap w:val="0"/>
            <w:vAlign w:val="center"/>
          </w:tcPr>
          <w:p>
            <w:pPr>
              <w:ind w:firstLine="180" w:firstLineChars="10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当事人应在收到本处罚决定书之日起十五日内，到西安市内中国工商银行陕西省分行任何一家营业部（陕西省非税收入待解缴科目：3700020111900211906）缴纳罚款。到期不缴纳罚款的，依据《中华人民共和国行政处罚法》第七十二条的规定，本局（队）将每日按罚款数额的百分之三加处罚款，并依法申请人民法院强制执行。</w:t>
            </w:r>
          </w:p>
          <w:p>
            <w:pPr>
              <w:ind w:firstLine="180" w:firstLineChars="100"/>
              <w:jc w:val="left"/>
              <w:rPr>
                <w:rFonts w:hint="eastAsia" w:ascii="仿宋_GB2312" w:hAnsi="仿宋_GB2312" w:eastAsia="仿宋_GB2312" w:cs="仿宋_GB2312"/>
                <w:sz w:val="18"/>
                <w:szCs w:val="18"/>
              </w:rPr>
            </w:pPr>
          </w:p>
        </w:tc>
        <w:tc>
          <w:tcPr>
            <w:tcW w:w="676" w:type="dxa"/>
            <w:noWrap w:val="0"/>
            <w:vAlign w:val="center"/>
          </w:tcPr>
          <w:p>
            <w:pPr>
              <w:jc w:val="center"/>
              <w:rPr>
                <w:rFonts w:hint="default" w:ascii="仿宋_GB2312" w:hAnsi="Calibri" w:eastAsia="仿宋_GB2312"/>
                <w:szCs w:val="21"/>
                <w:lang w:val="en-US" w:eastAsia="zh-CN"/>
              </w:rPr>
            </w:pPr>
            <w:r>
              <w:rPr>
                <w:rFonts w:hint="eastAsia" w:ascii="仿宋_GB2312" w:hAnsi="仿宋_GB2312" w:eastAsia="仿宋_GB2312" w:cs="仿宋_GB2312"/>
                <w:sz w:val="24"/>
                <w:szCs w:val="24"/>
                <w:lang w:val="en-US" w:eastAsia="zh-CN"/>
              </w:rPr>
              <w:t>2022年2月18日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2" w:hRule="atLeast"/>
        </w:trPr>
        <w:tc>
          <w:tcPr>
            <w:tcW w:w="459" w:type="dxa"/>
            <w:noWrap w:val="0"/>
            <w:vAlign w:val="center"/>
          </w:tcPr>
          <w:p>
            <w:pPr>
              <w:jc w:val="center"/>
              <w:rPr>
                <w:rFonts w:ascii="仿宋_GB2312" w:eastAsia="仿宋_GB2312"/>
                <w:bCs/>
                <w:szCs w:val="21"/>
              </w:rPr>
            </w:pPr>
          </w:p>
        </w:tc>
        <w:tc>
          <w:tcPr>
            <w:tcW w:w="899" w:type="dxa"/>
            <w:noWrap w:val="0"/>
            <w:vAlign w:val="center"/>
          </w:tcPr>
          <w:p>
            <w:pPr>
              <w:jc w:val="center"/>
              <w:rPr>
                <w:rFonts w:ascii="仿宋_GB2312" w:eastAsia="仿宋_GB2312"/>
                <w:szCs w:val="21"/>
              </w:rPr>
            </w:pPr>
          </w:p>
        </w:tc>
        <w:tc>
          <w:tcPr>
            <w:tcW w:w="955" w:type="dxa"/>
            <w:noWrap w:val="0"/>
            <w:vAlign w:val="center"/>
          </w:tcPr>
          <w:p>
            <w:pPr>
              <w:jc w:val="center"/>
              <w:rPr>
                <w:rFonts w:ascii="仿宋_GB2312" w:eastAsia="仿宋_GB2312"/>
                <w:szCs w:val="21"/>
              </w:rPr>
            </w:pPr>
          </w:p>
        </w:tc>
        <w:tc>
          <w:tcPr>
            <w:tcW w:w="1200" w:type="dxa"/>
            <w:noWrap w:val="0"/>
            <w:vAlign w:val="center"/>
          </w:tcPr>
          <w:p>
            <w:pPr>
              <w:jc w:val="center"/>
              <w:rPr>
                <w:rFonts w:ascii="仿宋_GB2312" w:eastAsia="仿宋_GB2312"/>
                <w:szCs w:val="21"/>
              </w:rPr>
            </w:pPr>
          </w:p>
        </w:tc>
        <w:tc>
          <w:tcPr>
            <w:tcW w:w="1091" w:type="dxa"/>
            <w:noWrap w:val="0"/>
            <w:vAlign w:val="center"/>
          </w:tcPr>
          <w:p>
            <w:pPr>
              <w:widowControl/>
              <w:jc w:val="center"/>
              <w:textAlignment w:val="center"/>
              <w:rPr>
                <w:rFonts w:ascii="Arial" w:hAnsi="Arial" w:cs="Arial"/>
                <w:color w:val="000000"/>
                <w:sz w:val="20"/>
              </w:rPr>
            </w:pPr>
          </w:p>
        </w:tc>
        <w:tc>
          <w:tcPr>
            <w:tcW w:w="750" w:type="dxa"/>
            <w:noWrap w:val="0"/>
            <w:vAlign w:val="center"/>
          </w:tcPr>
          <w:p>
            <w:pPr>
              <w:widowControl/>
              <w:jc w:val="center"/>
              <w:textAlignment w:val="center"/>
              <w:rPr>
                <w:rFonts w:ascii="宋体" w:hAnsi="宋体" w:cs="宋体"/>
                <w:color w:val="000000"/>
                <w:sz w:val="20"/>
              </w:rPr>
            </w:pPr>
          </w:p>
        </w:tc>
        <w:tc>
          <w:tcPr>
            <w:tcW w:w="6545" w:type="dxa"/>
            <w:noWrap w:val="0"/>
            <w:vAlign w:val="center"/>
          </w:tcPr>
          <w:p>
            <w:pPr>
              <w:widowControl/>
              <w:jc w:val="left"/>
              <w:textAlignment w:val="center"/>
              <w:rPr>
                <w:rFonts w:ascii="宋体" w:hAnsi="宋体" w:cs="宋体"/>
                <w:color w:val="000000"/>
                <w:sz w:val="20"/>
              </w:rPr>
            </w:pPr>
          </w:p>
        </w:tc>
        <w:tc>
          <w:tcPr>
            <w:tcW w:w="1445" w:type="dxa"/>
            <w:noWrap w:val="0"/>
            <w:vAlign w:val="center"/>
          </w:tcPr>
          <w:p>
            <w:pPr>
              <w:ind w:firstLine="320" w:firstLineChars="100"/>
              <w:jc w:val="left"/>
              <w:rPr>
                <w:rFonts w:ascii="仿宋_GB2312" w:eastAsia="仿宋_GB2312"/>
                <w:szCs w:val="21"/>
              </w:rPr>
            </w:pPr>
          </w:p>
        </w:tc>
        <w:tc>
          <w:tcPr>
            <w:tcW w:w="1964" w:type="dxa"/>
            <w:noWrap w:val="0"/>
            <w:vAlign w:val="center"/>
          </w:tcPr>
          <w:p>
            <w:pPr>
              <w:ind w:firstLine="320" w:firstLineChars="100"/>
              <w:jc w:val="left"/>
              <w:rPr>
                <w:rFonts w:ascii="仿宋_GB2312" w:eastAsia="仿宋_GB2312"/>
                <w:szCs w:val="21"/>
              </w:rPr>
            </w:pPr>
          </w:p>
        </w:tc>
        <w:tc>
          <w:tcPr>
            <w:tcW w:w="676" w:type="dxa"/>
            <w:noWrap w:val="0"/>
            <w:vAlign w:val="center"/>
          </w:tcPr>
          <w:p>
            <w:pPr>
              <w:jc w:val="center"/>
              <w:rPr>
                <w:rFonts w:ascii="仿宋_GB2312" w:eastAsia="仿宋_GB2312"/>
                <w:szCs w:val="21"/>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panose1 w:val="03000500000000000000"/>
    <w:charset w:val="00"/>
    <w:family w:val="script"/>
    <w:pitch w:val="default"/>
    <w:sig w:usb0="80000023" w:usb1="00000000" w:usb2="0002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532FE"/>
    <w:rsid w:val="08C65096"/>
    <w:rsid w:val="0DED62DF"/>
    <w:rsid w:val="28770B09"/>
    <w:rsid w:val="35583148"/>
    <w:rsid w:val="487877F8"/>
    <w:rsid w:val="4BFE3061"/>
    <w:rsid w:val="5A80010A"/>
    <w:rsid w:val="5B24313F"/>
    <w:rsid w:val="5FDA624B"/>
    <w:rsid w:val="62C612C9"/>
    <w:rsid w:val="64EF4547"/>
    <w:rsid w:val="713772AD"/>
    <w:rsid w:val="73245C89"/>
    <w:rsid w:val="759E7895"/>
    <w:rsid w:val="7A7B61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2022-01-13T03:46:00Z</dcterms:created>
  <dc:creator>lenovo</dc:creator>
  <cp:lastModifiedBy>匚圆几里</cp:lastModifiedBy>
  <cp:lastPrinted>2022-03-08T06:27:00Z</cp:lastPrinted>
  <dcterms:modified xsi:type="dcterms:W3CDTF">2022-03-08T07:06:13Z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E6526559F1594C3C8F685040B668820D</vt:lpwstr>
  </property>
</Properties>
</file>