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D3" w:rsidRDefault="00FD130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22年药械</w:t>
      </w:r>
      <w:proofErr w:type="gramStart"/>
      <w:r>
        <w:rPr>
          <w:rFonts w:ascii="方正小标宋简体" w:eastAsia="方正小标宋简体" w:hint="eastAsia"/>
          <w:sz w:val="36"/>
        </w:rPr>
        <w:t>化行政</w:t>
      </w:r>
      <w:proofErr w:type="gramEnd"/>
      <w:r>
        <w:rPr>
          <w:rFonts w:ascii="方正小标宋简体" w:eastAsia="方正小标宋简体" w:hint="eastAsia"/>
          <w:sz w:val="36"/>
        </w:rPr>
        <w:t>处罚案件信息公开表</w:t>
      </w:r>
    </w:p>
    <w:p w:rsidR="00A258D3" w:rsidRDefault="00FD130E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="00927335">
        <w:rPr>
          <w:rFonts w:hint="eastAsia"/>
          <w:b/>
          <w:sz w:val="24"/>
        </w:rPr>
        <w:t>西安市市场监督管理局</w:t>
      </w:r>
    </w:p>
    <w:p w:rsidR="00A258D3" w:rsidRDefault="00A258D3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1985"/>
        <w:gridCol w:w="992"/>
        <w:gridCol w:w="1418"/>
        <w:gridCol w:w="992"/>
        <w:gridCol w:w="1843"/>
        <w:gridCol w:w="3543"/>
        <w:gridCol w:w="1701"/>
        <w:gridCol w:w="851"/>
      </w:tblGrid>
      <w:tr w:rsidR="00A258D3" w:rsidTr="00995C73">
        <w:trPr>
          <w:trHeight w:val="1018"/>
        </w:trPr>
        <w:tc>
          <w:tcPr>
            <w:tcW w:w="392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85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A258D3" w:rsidRDefault="00FD130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处罚的日期</w:t>
            </w:r>
          </w:p>
        </w:tc>
      </w:tr>
      <w:tr w:rsidR="00226E21" w:rsidTr="00995C73">
        <w:trPr>
          <w:trHeight w:val="1018"/>
        </w:trPr>
        <w:tc>
          <w:tcPr>
            <w:tcW w:w="392" w:type="dxa"/>
            <w:vAlign w:val="center"/>
          </w:tcPr>
          <w:p w:rsidR="00226E21" w:rsidRDefault="00226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26E21" w:rsidRPr="00226E21" w:rsidRDefault="00226E21" w:rsidP="00226E21">
            <w:pPr>
              <w:jc w:val="left"/>
              <w:rPr>
                <w:sz w:val="24"/>
              </w:rPr>
            </w:pPr>
            <w:r w:rsidRPr="00226E21">
              <w:rPr>
                <w:rFonts w:hint="eastAsia"/>
                <w:sz w:val="24"/>
              </w:rPr>
              <w:t>西</w:t>
            </w:r>
            <w:proofErr w:type="gramStart"/>
            <w:r w:rsidRPr="00226E21">
              <w:rPr>
                <w:rFonts w:hint="eastAsia"/>
                <w:sz w:val="24"/>
              </w:rPr>
              <w:t>市监处罚</w:t>
            </w:r>
            <w:proofErr w:type="gramEnd"/>
            <w:r w:rsidRPr="00226E21">
              <w:rPr>
                <w:sz w:val="24"/>
              </w:rPr>
              <w:t>[20</w:t>
            </w:r>
            <w:r w:rsidRPr="00226E21">
              <w:rPr>
                <w:rFonts w:hint="eastAsia"/>
                <w:sz w:val="24"/>
              </w:rPr>
              <w:t>22</w:t>
            </w:r>
            <w:r w:rsidRPr="00226E21">
              <w:rPr>
                <w:sz w:val="24"/>
              </w:rPr>
              <w:t>]</w:t>
            </w:r>
            <w:r w:rsidRPr="00226E21">
              <w:rPr>
                <w:rFonts w:hint="eastAsia"/>
                <w:sz w:val="24"/>
              </w:rPr>
              <w:t>0153</w:t>
            </w:r>
            <w:r w:rsidRPr="00226E21">
              <w:rPr>
                <w:rFonts w:hint="eastAsia"/>
                <w:sz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226E21" w:rsidRPr="00226E21" w:rsidRDefault="00226E21" w:rsidP="00226E21">
            <w:pPr>
              <w:jc w:val="left"/>
              <w:rPr>
                <w:sz w:val="24"/>
              </w:rPr>
            </w:pPr>
            <w:r w:rsidRPr="00226E21">
              <w:rPr>
                <w:rFonts w:hint="eastAsia"/>
                <w:sz w:val="24"/>
              </w:rPr>
              <w:t>西安纵横医疗科技有限公司经营不符合强制性行业标准的医疗</w:t>
            </w:r>
            <w:proofErr w:type="gramStart"/>
            <w:r w:rsidRPr="00226E21">
              <w:rPr>
                <w:rFonts w:hint="eastAsia"/>
                <w:sz w:val="24"/>
              </w:rPr>
              <w:t>器械案</w:t>
            </w:r>
            <w:proofErr w:type="gramEnd"/>
          </w:p>
        </w:tc>
        <w:tc>
          <w:tcPr>
            <w:tcW w:w="992" w:type="dxa"/>
            <w:vAlign w:val="center"/>
          </w:tcPr>
          <w:p w:rsidR="00226E21" w:rsidRPr="00226E21" w:rsidRDefault="00226E21" w:rsidP="00226E21">
            <w:pPr>
              <w:jc w:val="left"/>
              <w:rPr>
                <w:sz w:val="24"/>
              </w:rPr>
            </w:pPr>
            <w:r w:rsidRPr="00226E21">
              <w:rPr>
                <w:rFonts w:hint="eastAsia"/>
                <w:sz w:val="24"/>
              </w:rPr>
              <w:t>西安纵横医疗科技有限公司</w:t>
            </w:r>
          </w:p>
        </w:tc>
        <w:tc>
          <w:tcPr>
            <w:tcW w:w="1418" w:type="dxa"/>
            <w:vAlign w:val="center"/>
          </w:tcPr>
          <w:p w:rsidR="00226E21" w:rsidRPr="00226E21" w:rsidRDefault="00226E21" w:rsidP="00226E21">
            <w:pPr>
              <w:jc w:val="left"/>
              <w:rPr>
                <w:sz w:val="24"/>
              </w:rPr>
            </w:pPr>
            <w:r w:rsidRPr="00226E21">
              <w:rPr>
                <w:rFonts w:hint="eastAsia"/>
                <w:sz w:val="24"/>
              </w:rPr>
              <w:t>91610125MA6X26EJX6</w:t>
            </w:r>
          </w:p>
        </w:tc>
        <w:tc>
          <w:tcPr>
            <w:tcW w:w="992" w:type="dxa"/>
            <w:vAlign w:val="center"/>
          </w:tcPr>
          <w:p w:rsidR="00226E21" w:rsidRPr="00226E21" w:rsidRDefault="00226E21" w:rsidP="00226E21">
            <w:pPr>
              <w:jc w:val="left"/>
              <w:rPr>
                <w:sz w:val="24"/>
              </w:rPr>
            </w:pPr>
            <w:r w:rsidRPr="00226E21">
              <w:rPr>
                <w:rFonts w:hint="eastAsia"/>
                <w:sz w:val="24"/>
              </w:rPr>
              <w:t>韩江波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26E21" w:rsidRDefault="00226E21" w:rsidP="00226E21">
            <w:pPr>
              <w:jc w:val="left"/>
              <w:rPr>
                <w:sz w:val="24"/>
              </w:rPr>
            </w:pPr>
            <w:r w:rsidRPr="00226E21">
              <w:rPr>
                <w:rFonts w:hint="eastAsia"/>
                <w:sz w:val="24"/>
              </w:rPr>
              <w:t>西安纵横医疗科技有限公司</w:t>
            </w:r>
            <w:r>
              <w:rPr>
                <w:rFonts w:hint="eastAsia"/>
                <w:sz w:val="24"/>
              </w:rPr>
              <w:t>经营</w:t>
            </w:r>
            <w:r w:rsidRPr="00226E21">
              <w:rPr>
                <w:rFonts w:hint="eastAsia"/>
                <w:sz w:val="24"/>
              </w:rPr>
              <w:t>不符合强制性行业标准的医疗器械。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226E21" w:rsidRDefault="00226E21" w:rsidP="00DB31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处罚种类：</w:t>
            </w:r>
            <w:r w:rsidRPr="00226E21">
              <w:rPr>
                <w:rFonts w:hint="eastAsia"/>
                <w:sz w:val="24"/>
              </w:rPr>
              <w:t>依据</w:t>
            </w:r>
            <w:r w:rsidRPr="00226E21">
              <w:rPr>
                <w:rFonts w:hint="eastAsia"/>
                <w:sz w:val="24"/>
              </w:rPr>
              <w:t>2017</w:t>
            </w:r>
            <w:r w:rsidRPr="00226E21">
              <w:rPr>
                <w:rFonts w:hint="eastAsia"/>
                <w:sz w:val="24"/>
              </w:rPr>
              <w:t>版《医疗器械监督管理条例》第六十六条第一款第一项、第六十八条第一款第二项</w:t>
            </w:r>
            <w:r>
              <w:rPr>
                <w:rFonts w:hint="eastAsia"/>
                <w:sz w:val="24"/>
              </w:rPr>
              <w:t>的规定对该公司处以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、警告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、罚款。</w:t>
            </w:r>
          </w:p>
        </w:tc>
        <w:tc>
          <w:tcPr>
            <w:tcW w:w="1701" w:type="dxa"/>
            <w:vAlign w:val="center"/>
          </w:tcPr>
          <w:p w:rsidR="00226E21" w:rsidRDefault="00226E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226E21" w:rsidRDefault="00226E21" w:rsidP="00226E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258D3" w:rsidRDefault="00A258D3">
      <w:pPr>
        <w:rPr>
          <w:sz w:val="24"/>
        </w:rPr>
      </w:pPr>
    </w:p>
    <w:sectPr w:rsidR="00A258D3" w:rsidSect="00A258D3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E7" w:rsidRDefault="00C770E7" w:rsidP="00A258D3">
      <w:r>
        <w:separator/>
      </w:r>
    </w:p>
  </w:endnote>
  <w:endnote w:type="continuationSeparator" w:id="0">
    <w:p w:rsidR="00C770E7" w:rsidRDefault="00C770E7" w:rsidP="00A2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D3" w:rsidRDefault="00791045">
    <w:pPr>
      <w:pStyle w:val="a4"/>
      <w:jc w:val="center"/>
    </w:pPr>
    <w:r w:rsidRPr="00791045">
      <w:fldChar w:fldCharType="begin"/>
    </w:r>
    <w:r w:rsidR="00FD130E">
      <w:instrText xml:space="preserve"> PAGE   \* MERGEFORMAT </w:instrText>
    </w:r>
    <w:r w:rsidRPr="00791045">
      <w:fldChar w:fldCharType="separate"/>
    </w:r>
    <w:r w:rsidR="00995C73" w:rsidRPr="00995C73">
      <w:rPr>
        <w:noProof/>
        <w:lang w:val="zh-CN"/>
      </w:rPr>
      <w:t>1</w:t>
    </w:r>
    <w:r>
      <w:rPr>
        <w:lang w:val="zh-CN"/>
      </w:rPr>
      <w:fldChar w:fldCharType="end"/>
    </w:r>
  </w:p>
  <w:p w:rsidR="00A258D3" w:rsidRDefault="00A258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E7" w:rsidRDefault="00C770E7" w:rsidP="00A258D3">
      <w:r>
        <w:separator/>
      </w:r>
    </w:p>
  </w:footnote>
  <w:footnote w:type="continuationSeparator" w:id="0">
    <w:p w:rsidR="00C770E7" w:rsidRDefault="00C770E7" w:rsidP="00A2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D3" w:rsidRDefault="00A258D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131A1E"/>
    <w:rsid w:val="00157D16"/>
    <w:rsid w:val="001609E3"/>
    <w:rsid w:val="00172FE1"/>
    <w:rsid w:val="001812E6"/>
    <w:rsid w:val="001818DD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6E21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4A66"/>
    <w:rsid w:val="0038745F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92074"/>
    <w:rsid w:val="004B1838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1045"/>
    <w:rsid w:val="00796CC0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80888"/>
    <w:rsid w:val="00895DD4"/>
    <w:rsid w:val="008E681A"/>
    <w:rsid w:val="008F63BC"/>
    <w:rsid w:val="009019A8"/>
    <w:rsid w:val="009064F0"/>
    <w:rsid w:val="0092175B"/>
    <w:rsid w:val="00925F34"/>
    <w:rsid w:val="00927335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95C73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58D3"/>
    <w:rsid w:val="00A26A5D"/>
    <w:rsid w:val="00A3024B"/>
    <w:rsid w:val="00A32196"/>
    <w:rsid w:val="00A4112F"/>
    <w:rsid w:val="00A43149"/>
    <w:rsid w:val="00A76179"/>
    <w:rsid w:val="00A7736F"/>
    <w:rsid w:val="00A84376"/>
    <w:rsid w:val="00AA6537"/>
    <w:rsid w:val="00AB432D"/>
    <w:rsid w:val="00AC220F"/>
    <w:rsid w:val="00AC7D82"/>
    <w:rsid w:val="00AD34C8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73E11"/>
    <w:rsid w:val="00C770E7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7673E"/>
    <w:rsid w:val="00D802F6"/>
    <w:rsid w:val="00D816B3"/>
    <w:rsid w:val="00D857D4"/>
    <w:rsid w:val="00DB1D03"/>
    <w:rsid w:val="00DB311E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130E"/>
    <w:rsid w:val="00FE45C5"/>
    <w:rsid w:val="00FE61AE"/>
    <w:rsid w:val="00FF7710"/>
    <w:rsid w:val="01DC3FE6"/>
    <w:rsid w:val="1E9F5287"/>
    <w:rsid w:val="7880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A258D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2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A2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A25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A258D3"/>
    <w:rPr>
      <w:rFonts w:cs="Times New Roman"/>
      <w:b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258D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258D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258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HUAWEI</cp:lastModifiedBy>
  <cp:revision>160</cp:revision>
  <cp:lastPrinted>2015-08-17T02:39:00Z</cp:lastPrinted>
  <dcterms:created xsi:type="dcterms:W3CDTF">2014-07-25T02:02:00Z</dcterms:created>
  <dcterms:modified xsi:type="dcterms:W3CDTF">2022-04-25T03:00:00Z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A2A275E5FB1C42CD8C97053E4432C809</vt:lpwstr>
  </property>
</Properties>
</file>