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13" w:rsidRDefault="005E3838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202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7E0E13" w:rsidRDefault="005E3838">
      <w:pPr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sz w:val="24"/>
        </w:rPr>
        <w:t>作出处罚的机关名称</w:t>
      </w:r>
      <w:r>
        <w:rPr>
          <w:rFonts w:ascii="仿宋_GB2312" w:eastAsia="仿宋_GB2312" w:hAnsi="仿宋_GB2312" w:cs="仿宋_GB2312" w:hint="eastAsia"/>
          <w:b/>
          <w:sz w:val="24"/>
        </w:rPr>
        <w:t>：西安市市场监督管理局</w:t>
      </w:r>
    </w:p>
    <w:p w:rsidR="007E0E13" w:rsidRDefault="007E0E13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559"/>
        <w:gridCol w:w="1559"/>
        <w:gridCol w:w="1134"/>
        <w:gridCol w:w="992"/>
        <w:gridCol w:w="3783"/>
        <w:gridCol w:w="2400"/>
        <w:gridCol w:w="1188"/>
        <w:gridCol w:w="851"/>
      </w:tblGrid>
      <w:tr w:rsidR="007E0E13">
        <w:trPr>
          <w:trHeight w:val="1018"/>
        </w:trPr>
        <w:tc>
          <w:tcPr>
            <w:tcW w:w="392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783" w:type="dxa"/>
            <w:tcBorders>
              <w:right w:val="single" w:sz="4" w:space="0" w:color="auto"/>
            </w:tcBorders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188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7E0E13">
        <w:trPr>
          <w:trHeight w:val="1018"/>
        </w:trPr>
        <w:tc>
          <w:tcPr>
            <w:tcW w:w="392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市监处罚〔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0146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E0E13" w:rsidRDefault="005E3838">
            <w:pPr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西咸新区沣西新城康乐医药有限公司经营不符合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经注册的产品技术要求的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医疗器械等案</w:t>
            </w:r>
          </w:p>
        </w:tc>
        <w:tc>
          <w:tcPr>
            <w:tcW w:w="1559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西咸新区沣西新城康乐医药有限公司</w:t>
            </w:r>
          </w:p>
        </w:tc>
        <w:tc>
          <w:tcPr>
            <w:tcW w:w="1134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91611104MA6TG28B8J</w:t>
            </w:r>
          </w:p>
        </w:tc>
        <w:tc>
          <w:tcPr>
            <w:tcW w:w="992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高爱玲</w:t>
            </w:r>
          </w:p>
        </w:tc>
        <w:tc>
          <w:tcPr>
            <w:tcW w:w="3783" w:type="dxa"/>
            <w:tcBorders>
              <w:right w:val="single" w:sz="4" w:space="0" w:color="auto"/>
            </w:tcBorders>
            <w:vAlign w:val="center"/>
          </w:tcPr>
          <w:p w:rsidR="007E0E13" w:rsidRDefault="005E3838">
            <w:pPr>
              <w:spacing w:line="24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西咸新区沣西新城康乐医药有限公司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经营不符合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经注册的产品技术要求的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医疗器械，购进上述医疗器械过程中未执行进货查验记录制度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；执法人员现场发现该公司未凭处方销售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络活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喜苯磺酸氨氯地平片等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种处方药。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7E0E13" w:rsidRDefault="005E3838">
            <w:pPr>
              <w:spacing w:line="240" w:lineRule="exact"/>
              <w:ind w:firstLineChars="200" w:firstLine="480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、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警告。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、罚款。</w:t>
            </w:r>
          </w:p>
          <w:p w:rsidR="007E0E13" w:rsidRDefault="005E3838">
            <w:pPr>
              <w:spacing w:line="240" w:lineRule="exact"/>
              <w:ind w:firstLineChars="200" w:firstLine="480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依据：《医疗器械监督管理条例》（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2017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年修订）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第六十六条第一款、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第六十八条第二项，</w:t>
            </w:r>
            <w:r>
              <w:rPr>
                <w:rFonts w:ascii="仿宋_GB2312" w:eastAsia="仿宋_GB2312" w:hAnsi="Times New Roman" w:cs="仿宋" w:hint="eastAsia"/>
                <w:sz w:val="24"/>
                <w:lang w:val="zh-CN"/>
              </w:rPr>
              <w:t>《药品流通监督管理办法》第三十八条第一款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1188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，</w:t>
            </w:r>
          </w:p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>
              <w:rPr>
                <w:rFonts w:ascii="仿宋_GB2312" w:eastAsia="仿宋_GB2312" w:hAnsi="Times New Roman" w:cs="仿宋"/>
                <w:sz w:val="24"/>
              </w:rPr>
              <w:t>15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7E0E13" w:rsidRDefault="005E3838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4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7E0E13" w:rsidRDefault="007E0E13">
      <w:pPr>
        <w:rPr>
          <w:rFonts w:ascii="仿宋_GB2312" w:eastAsia="仿宋_GB2312" w:hAnsi="Times New Roman" w:cs="仿宋"/>
          <w:sz w:val="24"/>
        </w:rPr>
      </w:pPr>
      <w:bookmarkStart w:id="0" w:name="_GoBack"/>
      <w:bookmarkEnd w:id="0"/>
    </w:p>
    <w:sectPr w:rsidR="007E0E13" w:rsidSect="007E0E13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38" w:rsidRDefault="005E3838" w:rsidP="007E0E13">
      <w:r>
        <w:separator/>
      </w:r>
    </w:p>
  </w:endnote>
  <w:endnote w:type="continuationSeparator" w:id="1">
    <w:p w:rsidR="005E3838" w:rsidRDefault="005E3838" w:rsidP="007E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13" w:rsidRDefault="007E0E13">
    <w:pPr>
      <w:pStyle w:val="a5"/>
      <w:jc w:val="center"/>
    </w:pPr>
    <w:r w:rsidRPr="007E0E13">
      <w:fldChar w:fldCharType="begin"/>
    </w:r>
    <w:r w:rsidR="005E3838">
      <w:instrText xml:space="preserve"> PAGE   \* MERGEFORMAT </w:instrText>
    </w:r>
    <w:r w:rsidRPr="007E0E13">
      <w:fldChar w:fldCharType="separate"/>
    </w:r>
    <w:r w:rsidR="00FE5903" w:rsidRPr="00FE5903">
      <w:rPr>
        <w:noProof/>
        <w:lang w:val="zh-CN"/>
      </w:rPr>
      <w:t>1</w:t>
    </w:r>
    <w:r>
      <w:rPr>
        <w:lang w:val="zh-CN"/>
      </w:rPr>
      <w:fldChar w:fldCharType="end"/>
    </w:r>
  </w:p>
  <w:p w:rsidR="007E0E13" w:rsidRDefault="007E0E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38" w:rsidRDefault="005E3838" w:rsidP="007E0E13">
      <w:r>
        <w:separator/>
      </w:r>
    </w:p>
  </w:footnote>
  <w:footnote w:type="continuationSeparator" w:id="1">
    <w:p w:rsidR="005E3838" w:rsidRDefault="005E3838" w:rsidP="007E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13" w:rsidRDefault="007E0E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2AB0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45CA1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0A32"/>
    <w:rsid w:val="0025317C"/>
    <w:rsid w:val="00262E70"/>
    <w:rsid w:val="0026326F"/>
    <w:rsid w:val="00271470"/>
    <w:rsid w:val="00280731"/>
    <w:rsid w:val="0028465D"/>
    <w:rsid w:val="00294886"/>
    <w:rsid w:val="002A60E2"/>
    <w:rsid w:val="002A6C2D"/>
    <w:rsid w:val="002D5111"/>
    <w:rsid w:val="002E01E9"/>
    <w:rsid w:val="002E6CDF"/>
    <w:rsid w:val="002F3451"/>
    <w:rsid w:val="002F7296"/>
    <w:rsid w:val="00302552"/>
    <w:rsid w:val="00302A68"/>
    <w:rsid w:val="00306B4C"/>
    <w:rsid w:val="00314164"/>
    <w:rsid w:val="003153C0"/>
    <w:rsid w:val="00317C40"/>
    <w:rsid w:val="0032452A"/>
    <w:rsid w:val="00325C60"/>
    <w:rsid w:val="00326896"/>
    <w:rsid w:val="00344631"/>
    <w:rsid w:val="003457C9"/>
    <w:rsid w:val="003509B7"/>
    <w:rsid w:val="00350B0A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F6EFA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3EA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55967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3838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B6924"/>
    <w:rsid w:val="006C0258"/>
    <w:rsid w:val="006C78EF"/>
    <w:rsid w:val="006D41A2"/>
    <w:rsid w:val="006D5B24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77731"/>
    <w:rsid w:val="007803FE"/>
    <w:rsid w:val="00796CC0"/>
    <w:rsid w:val="007A2AA6"/>
    <w:rsid w:val="007A7B71"/>
    <w:rsid w:val="007B0369"/>
    <w:rsid w:val="007B1806"/>
    <w:rsid w:val="007B21F7"/>
    <w:rsid w:val="007D5C4A"/>
    <w:rsid w:val="007E0E13"/>
    <w:rsid w:val="007E3F21"/>
    <w:rsid w:val="007E7EDB"/>
    <w:rsid w:val="007F472B"/>
    <w:rsid w:val="008074CE"/>
    <w:rsid w:val="00815D3B"/>
    <w:rsid w:val="008273EC"/>
    <w:rsid w:val="00832406"/>
    <w:rsid w:val="0083490B"/>
    <w:rsid w:val="00853EEE"/>
    <w:rsid w:val="00856BD5"/>
    <w:rsid w:val="008624F7"/>
    <w:rsid w:val="00880888"/>
    <w:rsid w:val="00895DD4"/>
    <w:rsid w:val="008C77E4"/>
    <w:rsid w:val="008E681A"/>
    <w:rsid w:val="008F63BC"/>
    <w:rsid w:val="009019A8"/>
    <w:rsid w:val="00902B27"/>
    <w:rsid w:val="009064F0"/>
    <w:rsid w:val="0092175B"/>
    <w:rsid w:val="00925F34"/>
    <w:rsid w:val="00934F81"/>
    <w:rsid w:val="009369BF"/>
    <w:rsid w:val="00937833"/>
    <w:rsid w:val="00943140"/>
    <w:rsid w:val="0094523E"/>
    <w:rsid w:val="009470A2"/>
    <w:rsid w:val="00951F54"/>
    <w:rsid w:val="00961A05"/>
    <w:rsid w:val="00965E9E"/>
    <w:rsid w:val="00967A8A"/>
    <w:rsid w:val="00971BE7"/>
    <w:rsid w:val="0097607F"/>
    <w:rsid w:val="00976D1B"/>
    <w:rsid w:val="009814D7"/>
    <w:rsid w:val="0098169E"/>
    <w:rsid w:val="0098533F"/>
    <w:rsid w:val="00993797"/>
    <w:rsid w:val="009A55AE"/>
    <w:rsid w:val="009A7122"/>
    <w:rsid w:val="009C55CF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320F0"/>
    <w:rsid w:val="00A4112F"/>
    <w:rsid w:val="00A43149"/>
    <w:rsid w:val="00A55C01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E7F1D"/>
    <w:rsid w:val="00AF7FFE"/>
    <w:rsid w:val="00B01035"/>
    <w:rsid w:val="00B01C1D"/>
    <w:rsid w:val="00B02C7E"/>
    <w:rsid w:val="00B064BC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A2F21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15BFA"/>
    <w:rsid w:val="00C24F9C"/>
    <w:rsid w:val="00C55291"/>
    <w:rsid w:val="00C67C82"/>
    <w:rsid w:val="00CA5A9F"/>
    <w:rsid w:val="00CA7C79"/>
    <w:rsid w:val="00CB037F"/>
    <w:rsid w:val="00CB3109"/>
    <w:rsid w:val="00CC1F00"/>
    <w:rsid w:val="00CC56A6"/>
    <w:rsid w:val="00CD0DBC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1268"/>
    <w:rsid w:val="00DF7959"/>
    <w:rsid w:val="00DF799E"/>
    <w:rsid w:val="00E071DA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3FDE"/>
    <w:rsid w:val="00EA5B73"/>
    <w:rsid w:val="00EB4DE0"/>
    <w:rsid w:val="00EB60B6"/>
    <w:rsid w:val="00ED60FA"/>
    <w:rsid w:val="00EE2242"/>
    <w:rsid w:val="00F03FEC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E3A78"/>
    <w:rsid w:val="00FE45C5"/>
    <w:rsid w:val="00FE5903"/>
    <w:rsid w:val="00FE61AE"/>
    <w:rsid w:val="00FF7710"/>
    <w:rsid w:val="0DF839F6"/>
    <w:rsid w:val="14BE602F"/>
    <w:rsid w:val="2CB2009F"/>
    <w:rsid w:val="30F84FFD"/>
    <w:rsid w:val="3F3B11EC"/>
    <w:rsid w:val="53E76BD0"/>
    <w:rsid w:val="5C0C6FCF"/>
    <w:rsid w:val="5C2D2C85"/>
    <w:rsid w:val="642970F5"/>
    <w:rsid w:val="6DB5216A"/>
    <w:rsid w:val="6F0B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E0E13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rsid w:val="007E0E13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E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E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7E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7E0E13"/>
    <w:rPr>
      <w:rFonts w:cs="Times New Roman"/>
      <w:b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7E0E1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7E0E1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sid w:val="007E0E1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19</cp:revision>
  <cp:lastPrinted>2022-04-26T08:59:00Z</cp:lastPrinted>
  <dcterms:created xsi:type="dcterms:W3CDTF">2019-03-04T07:52:00Z</dcterms:created>
  <dcterms:modified xsi:type="dcterms:W3CDTF">2022-04-29T08:10:00Z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7A7F4E012DEA4A828A1F965263544D3F</vt:lpwstr>
  </property>
</Properties>
</file>