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581" w:tblpY="7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66"/>
        <w:gridCol w:w="1478"/>
        <w:gridCol w:w="1601"/>
        <w:gridCol w:w="1871"/>
        <w:gridCol w:w="1550"/>
        <w:gridCol w:w="2031"/>
        <w:gridCol w:w="2268"/>
        <w:gridCol w:w="1559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187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统一</w:t>
            </w: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信用代码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西市监处罚﹝2022 〕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0172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西安麦尚广告文化传播有限公司违反广告法案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西安麦尚广告文化传播有限公司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916101313517050021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郭锋锋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202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年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月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日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eastAsia="zh-CN"/>
              </w:rPr>
              <w:t>当事人为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西安时维教育培训学校有限公司制作含有师资力量的照片及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eastAsia="zh-CN"/>
              </w:rPr>
              <w:t>教师个人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介绍内容的广告，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eastAsia="zh-CN"/>
              </w:rPr>
              <w:t>无法提供完整的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广告业务的承接登记、审核、档案管理制度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eastAsia="zh-CN"/>
              </w:rPr>
              <w:t>资料。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西安麦尚广告文化传播有限公司为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eastAsia="zh-CN"/>
              </w:rPr>
              <w:t>发布违法广告的广告经营者，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西安时维教育培训学校有限公司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eastAsia="zh-CN"/>
              </w:rPr>
              <w:t>为广告主（另案已处理）。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6"/>
                <w:szCs w:val="16"/>
                <w:lang w:val="en-US" w:eastAsia="zh-CN"/>
              </w:rPr>
              <w:t>当事人制作违法广告的行为违反了《中华人民共和国广告法》第二十四条第一款第三项之规定，依据《中华人民共和国广告法》第五十八条第三款之规定，责令当事人停止发布广告，并处罚如下：1、没收广告费用1221.84元；2、处广告费用2.4倍的罚款，罚款2932.42元；当事人未按照国家有关规定，建立、健全广告业务的承接登记、审核、档案管理制度的违法行为违反了《中华人民共和国广告法》第三十四条之规定，依据《中华人民共和国广告法》第六十条第一款之规定，责令当事人15日内改正。以上合计罚没款4154.26元。</w:t>
            </w:r>
          </w:p>
          <w:p>
            <w:pPr>
              <w:ind w:firstLine="320" w:firstLineChars="200"/>
              <w:rPr>
                <w:rFonts w:hint="eastAsia" w:ascii="仿宋_GB2312" w:hAnsi="Calibri" w:eastAsia="仿宋_GB2312" w:cs="Times New Roman"/>
                <w:sz w:val="16"/>
                <w:szCs w:val="16"/>
                <w:lang w:val="en-US" w:eastAsia="zh-CN"/>
              </w:rPr>
            </w:pPr>
          </w:p>
          <w:p>
            <w:pPr>
              <w:ind w:firstLine="210" w:firstLineChars="10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280" w:firstLineChars="100"/>
              <w:jc w:val="left"/>
              <w:rPr>
                <w:rFonts w:hint="default" w:ascii="仿宋_GB2312" w:hAnsi="Calibri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主动履行接到处罚决定书之日起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15日内</w:t>
            </w:r>
          </w:p>
        </w:tc>
        <w:tc>
          <w:tcPr>
            <w:tcW w:w="1701" w:type="dxa"/>
            <w:vAlign w:val="center"/>
          </w:tcPr>
          <w:p>
            <w:pPr>
              <w:ind w:firstLine="320" w:firstLineChars="100"/>
              <w:jc w:val="left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2022年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日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行政处罚案件信息公开表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7"/>
        <w:rFonts w:ascii="宋体" w:hAnsi="宋体" w:eastAsia="宋体"/>
        <w:sz w:val="28"/>
      </w:rPr>
      <w:t>—</w:t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Style w:val="7"/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Style w:val="7"/>
        <w:rFonts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VhODVmNzhlMzNmNmFmMzVhZjdhMzY5Y2Y2OGQzNzIifQ=="/>
  </w:docVars>
  <w:rsids>
    <w:rsidRoot w:val="00306513"/>
    <w:rsid w:val="00020888"/>
    <w:rsid w:val="000911E1"/>
    <w:rsid w:val="000A6EF8"/>
    <w:rsid w:val="001036EF"/>
    <w:rsid w:val="001718E9"/>
    <w:rsid w:val="00183D46"/>
    <w:rsid w:val="001B34DD"/>
    <w:rsid w:val="00271875"/>
    <w:rsid w:val="002D178D"/>
    <w:rsid w:val="002D7818"/>
    <w:rsid w:val="00306513"/>
    <w:rsid w:val="00432A9C"/>
    <w:rsid w:val="00437F49"/>
    <w:rsid w:val="004A11D8"/>
    <w:rsid w:val="005B0672"/>
    <w:rsid w:val="005C0F84"/>
    <w:rsid w:val="00613E42"/>
    <w:rsid w:val="00675C95"/>
    <w:rsid w:val="00724BE3"/>
    <w:rsid w:val="00746637"/>
    <w:rsid w:val="007978AA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F5188"/>
    <w:rsid w:val="00F42A41"/>
    <w:rsid w:val="00F5320E"/>
    <w:rsid w:val="1FC3402A"/>
    <w:rsid w:val="2EB711FE"/>
    <w:rsid w:val="3D5D7415"/>
    <w:rsid w:val="54C7134C"/>
    <w:rsid w:val="59DD48C8"/>
    <w:rsid w:val="61AE19D1"/>
    <w:rsid w:val="646B6D44"/>
    <w:rsid w:val="663D5698"/>
    <w:rsid w:val="6D6A63D9"/>
    <w:rsid w:val="6F2F210F"/>
    <w:rsid w:val="78F16688"/>
    <w:rsid w:val="7934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10">
    <w:name w:val="Char"/>
    <w:basedOn w:val="1"/>
    <w:uiPriority w:val="0"/>
    <w:pPr>
      <w:spacing w:line="360" w:lineRule="auto"/>
    </w:pPr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jiajing</Company>
  <Pages>1</Pages>
  <Words>522</Words>
  <Characters>575</Characters>
  <Lines>1</Lines>
  <Paragraphs>1</Paragraphs>
  <TotalTime>3</TotalTime>
  <ScaleCrop>false</ScaleCrop>
  <LinksUpToDate>false</LinksUpToDate>
  <CharactersWithSpaces>576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2022-02-14T09:32:00Z</dcterms:created>
  <dc:creator>PC</dc:creator>
  <cp:lastModifiedBy>dell</cp:lastModifiedBy>
  <dcterms:modified xsi:type="dcterms:W3CDTF">2022-05-11T00:56:10Z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FFCE951A6BBD48A3B41EEC576DFA07D4</vt:lpwstr>
  </property>
</Properties>
</file>