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80896" w:rsidRPr="00B31D1E" w:rsidRDefault="006D312F" w:rsidP="00627DD6">
            <w:pPr>
              <w:wordWrap w:val="0"/>
              <w:snapToGrid w:val="0"/>
              <w:spacing w:beforeLines="50" w:afterLines="50" w:line="520" w:lineRule="exact"/>
              <w:jc w:val="center"/>
              <w:rPr>
                <w:rFonts w:ascii="仿宋_GB2312" w:eastAsia="仿宋_GB2312" w:hAnsi="Times New Roman" w:cs="仿宋"/>
                <w:sz w:val="24"/>
                <w:szCs w:val="24"/>
              </w:rPr>
            </w:pPr>
            <w:r w:rsidRPr="006D312F">
              <w:rPr>
                <w:rFonts w:ascii="仿宋" w:eastAsia="仿宋" w:hAnsi="仿宋" w:cs="Times New Roman"/>
                <w:color w:val="262626"/>
                <w:spacing w:val="-2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8240;mso-position-horizontal-relative:text;mso-position-vertical-relative:text" strokeweight="1.5pt">
                  <v:stroke endcap="square"/>
                </v:shape>
              </w:pic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西市监</w:t>
            </w:r>
            <w:r w:rsidR="00627DD6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处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罚〔2022〕0</w:t>
            </w:r>
            <w:r w:rsidR="003672EB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424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号</w:t>
            </w:r>
          </w:p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A11D8" w:rsidRDefault="003672EB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672EB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西安怡康医药连锁有限责任公司草场坡店</w:t>
            </w:r>
            <w:r w:rsidR="00480896" w:rsidRPr="00B31D1E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涉嫌超出经营范围网络销售第三类医疗器械案</w:t>
            </w:r>
          </w:p>
        </w:tc>
        <w:tc>
          <w:tcPr>
            <w:tcW w:w="1601" w:type="dxa"/>
            <w:vAlign w:val="center"/>
          </w:tcPr>
          <w:p w:rsidR="004A11D8" w:rsidRDefault="003672EB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672EB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西安怡康医药连锁有限责任公司草场坡店</w:t>
            </w:r>
          </w:p>
        </w:tc>
        <w:tc>
          <w:tcPr>
            <w:tcW w:w="2330" w:type="dxa"/>
            <w:vAlign w:val="center"/>
          </w:tcPr>
          <w:p w:rsidR="004A11D8" w:rsidRPr="003672EB" w:rsidRDefault="003672EB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3672EB">
              <w:rPr>
                <w:rFonts w:ascii="仿宋_GB2312" w:eastAsia="仿宋_GB2312" w:hAnsi="Times New Roman" w:cs="仿宋" w:hint="eastAsia"/>
                <w:sz w:val="24"/>
                <w:szCs w:val="24"/>
              </w:rPr>
              <w:t>91610100673252835L</w:t>
            </w:r>
          </w:p>
        </w:tc>
        <w:tc>
          <w:tcPr>
            <w:tcW w:w="1091" w:type="dxa"/>
            <w:vAlign w:val="center"/>
          </w:tcPr>
          <w:p w:rsidR="004A11D8" w:rsidRDefault="003672EB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672EB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张瑞敏</w:t>
            </w:r>
            <w:r w:rsidR="00480896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（企业负责人）</w:t>
            </w:r>
          </w:p>
        </w:tc>
        <w:tc>
          <w:tcPr>
            <w:tcW w:w="2031" w:type="dxa"/>
            <w:vAlign w:val="center"/>
          </w:tcPr>
          <w:p w:rsidR="004A11D8" w:rsidRDefault="00480896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80896"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  <w:t>违反</w:t>
            </w:r>
            <w:r w:rsidRPr="00480896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了《医疗器械网络销售监督管理办法》第十三条第一款之规定“从事医疗器械网络销售的企业，经营范围不得超出其生产经营许可或者备案范围”的规定</w:t>
            </w:r>
          </w:p>
        </w:tc>
        <w:tc>
          <w:tcPr>
            <w:tcW w:w="2268" w:type="dxa"/>
            <w:vAlign w:val="center"/>
          </w:tcPr>
          <w:p w:rsidR="002C532D" w:rsidRPr="002C532D" w:rsidRDefault="00480896" w:rsidP="00480896">
            <w:pPr>
              <w:spacing w:line="260" w:lineRule="exact"/>
              <w:ind w:firstLineChars="200" w:firstLine="48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B31D1E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依据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医疗器械网络销售监督管理办法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》第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四十四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条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第一款第一项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“有下列情形之一的，由县级以上地方食品药品监督管理部门责令改正，处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万元以下罚款：（一）从事医疗器械网络销售的企业超出经营范围销售的；”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的规定</w:t>
            </w:r>
            <w:r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。</w:t>
            </w:r>
            <w:r w:rsidR="002C532D"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3672E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3672EB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3672EB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94" w:rsidRDefault="00156D94" w:rsidP="00306513">
      <w:r>
        <w:separator/>
      </w:r>
    </w:p>
  </w:endnote>
  <w:endnote w:type="continuationSeparator" w:id="1">
    <w:p w:rsidR="00156D94" w:rsidRDefault="00156D94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6D312F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6D312F" w:rsidRPr="00F530E9">
      <w:rPr>
        <w:rStyle w:val="a6"/>
        <w:rFonts w:ascii="宋体" w:eastAsia="宋体" w:hAnsi="宋体"/>
        <w:sz w:val="28"/>
      </w:rPr>
      <w:fldChar w:fldCharType="separate"/>
    </w:r>
    <w:r w:rsidR="00480896">
      <w:rPr>
        <w:rStyle w:val="a6"/>
        <w:rFonts w:ascii="宋体" w:eastAsia="宋体" w:hAnsi="宋体"/>
        <w:noProof/>
        <w:sz w:val="28"/>
      </w:rPr>
      <w:t>2</w:t>
    </w:r>
    <w:r w:rsidR="006D312F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94" w:rsidRDefault="00156D94" w:rsidP="00306513">
      <w:r>
        <w:separator/>
      </w:r>
    </w:p>
  </w:footnote>
  <w:footnote w:type="continuationSeparator" w:id="1">
    <w:p w:rsidR="00156D94" w:rsidRDefault="00156D94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56D94"/>
    <w:rsid w:val="001718E9"/>
    <w:rsid w:val="00183D46"/>
    <w:rsid w:val="001B34DD"/>
    <w:rsid w:val="00271875"/>
    <w:rsid w:val="002C532D"/>
    <w:rsid w:val="002D178D"/>
    <w:rsid w:val="002D7818"/>
    <w:rsid w:val="00306513"/>
    <w:rsid w:val="003672EB"/>
    <w:rsid w:val="003767FD"/>
    <w:rsid w:val="003C4474"/>
    <w:rsid w:val="00432A9C"/>
    <w:rsid w:val="00437F49"/>
    <w:rsid w:val="00480896"/>
    <w:rsid w:val="004A11D8"/>
    <w:rsid w:val="0059183D"/>
    <w:rsid w:val="005B0672"/>
    <w:rsid w:val="005C0F84"/>
    <w:rsid w:val="00612806"/>
    <w:rsid w:val="00613E42"/>
    <w:rsid w:val="00627DD6"/>
    <w:rsid w:val="00675C95"/>
    <w:rsid w:val="00686266"/>
    <w:rsid w:val="006D312F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506E7"/>
    <w:rsid w:val="00D57183"/>
    <w:rsid w:val="00D6584F"/>
    <w:rsid w:val="00DF1290"/>
    <w:rsid w:val="00E436E2"/>
    <w:rsid w:val="00EA11F2"/>
    <w:rsid w:val="00EA2BF1"/>
    <w:rsid w:val="00EA3A67"/>
    <w:rsid w:val="00EE5C7F"/>
    <w:rsid w:val="00EF5188"/>
    <w:rsid w:val="00F42A41"/>
    <w:rsid w:val="00F467D7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jiajing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5</cp:revision>
  <dcterms:created xsi:type="dcterms:W3CDTF">2022-09-14T03:28:00Z</dcterms:created>
  <dcterms:modified xsi:type="dcterms:W3CDTF">2022-10-17T03:04:00Z</dcterms:modified>
</cp:coreProperties>
</file>