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E9" w:rsidRDefault="00623C1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  <w:bookmarkStart w:id="0" w:name="_GoBack"/>
      <w:bookmarkEnd w:id="0"/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 w:rsidR="009268E9">
        <w:trPr>
          <w:trHeight w:val="769"/>
        </w:trPr>
        <w:tc>
          <w:tcPr>
            <w:tcW w:w="459" w:type="dxa"/>
            <w:vAlign w:val="center"/>
          </w:tcPr>
          <w:p w:rsidR="009268E9" w:rsidRDefault="00623C1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9268E9" w:rsidRDefault="00623C1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9268E9" w:rsidRDefault="00623C1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9268E9" w:rsidRDefault="00623C1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9268E9" w:rsidRDefault="00623C1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9268E9" w:rsidRDefault="00623C1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9268E9" w:rsidRDefault="00623C1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9268E9" w:rsidRDefault="00623C1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9268E9" w:rsidRDefault="00623C1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9268E9" w:rsidRDefault="00623C1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9268E9" w:rsidRDefault="00623C1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9268E9" w:rsidRDefault="00623C1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:rsidR="009268E9" w:rsidRDefault="00623C1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9268E9" w:rsidRDefault="00623C1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9268E9">
        <w:trPr>
          <w:trHeight w:val="835"/>
        </w:trPr>
        <w:tc>
          <w:tcPr>
            <w:tcW w:w="459" w:type="dxa"/>
            <w:vAlign w:val="center"/>
          </w:tcPr>
          <w:p w:rsidR="009268E9" w:rsidRDefault="00623C18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9268E9" w:rsidRDefault="00623C18" w:rsidP="00730E2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西市监处罚﹝</w:t>
            </w:r>
            <w:r w:rsidR="00730E28"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〕</w:t>
            </w:r>
            <w:r w:rsidR="00730E28">
              <w:rPr>
                <w:rFonts w:ascii="仿宋" w:eastAsia="仿宋" w:hAnsi="仿宋" w:cs="仿宋" w:hint="eastAsia"/>
                <w:szCs w:val="21"/>
              </w:rPr>
              <w:t>0445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9268E9" w:rsidRDefault="00623C18">
            <w:pPr>
              <w:snapToGrid w:val="0"/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</w:t>
            </w:r>
            <w:r>
              <w:rPr>
                <w:rFonts w:ascii="仿宋" w:eastAsia="仿宋" w:hAnsi="仿宋" w:cs="仿宋" w:hint="eastAsia"/>
                <w:szCs w:val="21"/>
              </w:rPr>
              <w:t>柏树林店超出经营范围网络销售第三类医疗器械案</w:t>
            </w:r>
          </w:p>
        </w:tc>
        <w:tc>
          <w:tcPr>
            <w:tcW w:w="1601" w:type="dxa"/>
            <w:vAlign w:val="center"/>
          </w:tcPr>
          <w:p w:rsidR="009268E9" w:rsidRDefault="00623C18">
            <w:pPr>
              <w:snapToGrid w:val="0"/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</w:t>
            </w:r>
            <w:r>
              <w:rPr>
                <w:rFonts w:ascii="仿宋" w:eastAsia="仿宋" w:hAnsi="仿宋" w:cs="仿宋" w:hint="eastAsia"/>
                <w:szCs w:val="21"/>
              </w:rPr>
              <w:t>柏树林店</w:t>
            </w:r>
          </w:p>
          <w:p w:rsidR="009268E9" w:rsidRDefault="009268E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9268E9" w:rsidRDefault="009268E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9268E9" w:rsidRDefault="00623C1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91610103698628528Q</w:t>
            </w:r>
          </w:p>
        </w:tc>
        <w:tc>
          <w:tcPr>
            <w:tcW w:w="1091" w:type="dxa"/>
            <w:vAlign w:val="center"/>
          </w:tcPr>
          <w:p w:rsidR="009268E9" w:rsidRDefault="00623C1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李杰</w:t>
            </w:r>
          </w:p>
        </w:tc>
        <w:tc>
          <w:tcPr>
            <w:tcW w:w="2031" w:type="dxa"/>
            <w:vAlign w:val="center"/>
          </w:tcPr>
          <w:p w:rsidR="009268E9" w:rsidRDefault="00623C1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西安怡康医药连锁有限责任公司</w:t>
            </w:r>
            <w:r>
              <w:rPr>
                <w:rFonts w:ascii="仿宋" w:eastAsia="仿宋" w:hAnsi="仿宋" w:cs="仿宋" w:hint="eastAsia"/>
                <w:szCs w:val="21"/>
              </w:rPr>
              <w:t>柏树林店上述行为涉嫌违反了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《医疗器械网络销售监督管理办法》第七条第一款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的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规定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9268E9" w:rsidRDefault="00623C18">
            <w:pPr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依据《医疗器械网络销售监督管理办法》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第三十八条</w:t>
            </w:r>
            <w:r>
              <w:rPr>
                <w:rFonts w:ascii="仿宋" w:eastAsia="仿宋" w:hAnsi="仿宋" w:cs="仿宋" w:hint="eastAsia"/>
                <w:szCs w:val="21"/>
              </w:rPr>
              <w:t>之规定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并建议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作出处罚如下：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罚款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50000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元。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没收违法所得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34.5</w:t>
            </w:r>
            <w:r>
              <w:rPr>
                <w:rFonts w:ascii="仿宋" w:eastAsia="仿宋" w:hAnsi="仿宋" w:cs="仿宋" w:hint="eastAsia"/>
                <w:spacing w:val="5"/>
                <w:szCs w:val="21"/>
              </w:rPr>
              <w:t>元。</w:t>
            </w:r>
          </w:p>
          <w:p w:rsidR="009268E9" w:rsidRDefault="009268E9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268E9" w:rsidRDefault="00623C18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主动履行</w:t>
            </w:r>
          </w:p>
        </w:tc>
        <w:tc>
          <w:tcPr>
            <w:tcW w:w="1701" w:type="dxa"/>
            <w:vAlign w:val="center"/>
          </w:tcPr>
          <w:p w:rsidR="009268E9" w:rsidRDefault="00623C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9268E9" w:rsidRDefault="009268E9">
      <w:pPr>
        <w:spacing w:line="560" w:lineRule="exact"/>
        <w:rPr>
          <w:rFonts w:ascii="仿宋_GB2312" w:eastAsia="仿宋_GB2312"/>
          <w:szCs w:val="21"/>
        </w:rPr>
      </w:pPr>
    </w:p>
    <w:p w:rsidR="009268E9" w:rsidRDefault="009268E9">
      <w:pPr>
        <w:spacing w:line="560" w:lineRule="exact"/>
        <w:rPr>
          <w:rFonts w:ascii="仿宋_GB2312" w:eastAsia="仿宋_GB2312"/>
          <w:szCs w:val="21"/>
        </w:rPr>
      </w:pPr>
    </w:p>
    <w:sectPr w:rsidR="009268E9" w:rsidSect="009268E9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C18" w:rsidRDefault="00623C18" w:rsidP="009268E9">
      <w:pPr>
        <w:ind w:firstLine="420"/>
      </w:pPr>
      <w:r>
        <w:separator/>
      </w:r>
    </w:p>
  </w:endnote>
  <w:endnote w:type="continuationSeparator" w:id="1">
    <w:p w:rsidR="00623C18" w:rsidRDefault="00623C18" w:rsidP="009268E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E9" w:rsidRDefault="00623C18">
    <w:pPr>
      <w:pStyle w:val="a4"/>
    </w:pPr>
    <w:r>
      <w:rPr>
        <w:rStyle w:val="a6"/>
        <w:rFonts w:ascii="宋体" w:eastAsia="宋体" w:hAnsi="宋体"/>
        <w:sz w:val="28"/>
      </w:rPr>
      <w:t>—</w:t>
    </w:r>
    <w:r w:rsidR="009268E9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9268E9"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2</w:t>
    </w:r>
    <w:r w:rsidR="009268E9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E9" w:rsidRDefault="009268E9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C18" w:rsidRDefault="00623C18" w:rsidP="009268E9">
      <w:pPr>
        <w:ind w:firstLine="420"/>
      </w:pPr>
      <w:r>
        <w:separator/>
      </w:r>
    </w:p>
  </w:footnote>
  <w:footnote w:type="continuationSeparator" w:id="1">
    <w:p w:rsidR="00623C18" w:rsidRDefault="00623C18" w:rsidP="009268E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E9" w:rsidRDefault="009268E9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E9" w:rsidRDefault="009268E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2ZTMyNzVhYjEyNjcyMGVjZWE2N2RiMzA1NjA4NDQ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23C18"/>
    <w:rsid w:val="00675C95"/>
    <w:rsid w:val="00724BE3"/>
    <w:rsid w:val="00730E28"/>
    <w:rsid w:val="00746637"/>
    <w:rsid w:val="007978AA"/>
    <w:rsid w:val="007D65BA"/>
    <w:rsid w:val="00803643"/>
    <w:rsid w:val="0082332C"/>
    <w:rsid w:val="0084074F"/>
    <w:rsid w:val="008F4B9C"/>
    <w:rsid w:val="009268E9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05776166"/>
    <w:rsid w:val="1609105D"/>
    <w:rsid w:val="1AE35FDC"/>
    <w:rsid w:val="262A4E03"/>
    <w:rsid w:val="2A3332FA"/>
    <w:rsid w:val="4ADA02F6"/>
    <w:rsid w:val="4D6C7200"/>
    <w:rsid w:val="55191154"/>
    <w:rsid w:val="672C55DE"/>
    <w:rsid w:val="6E213C99"/>
    <w:rsid w:val="70812EB9"/>
    <w:rsid w:val="729C3F60"/>
    <w:rsid w:val="7A613399"/>
    <w:rsid w:val="7C41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268E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926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26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9268E9"/>
  </w:style>
  <w:style w:type="character" w:customStyle="1" w:styleId="Char1">
    <w:name w:val="页眉 Char"/>
    <w:basedOn w:val="a0"/>
    <w:link w:val="a5"/>
    <w:uiPriority w:val="99"/>
    <w:semiHidden/>
    <w:qFormat/>
    <w:rsid w:val="009268E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268E9"/>
    <w:rPr>
      <w:sz w:val="18"/>
      <w:szCs w:val="18"/>
    </w:rPr>
  </w:style>
  <w:style w:type="paragraph" w:customStyle="1" w:styleId="Char2">
    <w:name w:val="Char"/>
    <w:basedOn w:val="a"/>
    <w:qFormat/>
    <w:rsid w:val="009268E9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9268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jiajing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7</cp:revision>
  <cp:lastPrinted>2022-10-18T03:03:00Z</cp:lastPrinted>
  <dcterms:created xsi:type="dcterms:W3CDTF">2022-02-14T09:32:00Z</dcterms:created>
  <dcterms:modified xsi:type="dcterms:W3CDTF">2022-10-21T03:01:00Z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2872B1E9C83F4296B76F671BFBD9373A</vt:lpwstr>
  </property>
</Properties>
</file>