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hAnsi="Calibri" w:eastAsia="黑体"/>
          <w:sz w:val="36"/>
          <w:szCs w:val="36"/>
        </w:rPr>
        <w:t>行政处罚案件信息公开表</w:t>
      </w:r>
    </w:p>
    <w:tbl>
      <w:tblPr>
        <w:tblStyle w:val="2"/>
        <w:tblpPr w:leftFromText="180" w:rightFromText="180" w:vertAnchor="text" w:horzAnchor="page" w:tblpXSpec="center" w:tblpY="309"/>
        <w:tblOverlap w:val="never"/>
        <w:tblW w:w="159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1151"/>
        <w:gridCol w:w="703"/>
        <w:gridCol w:w="1004"/>
        <w:gridCol w:w="867"/>
        <w:gridCol w:w="567"/>
        <w:gridCol w:w="7554"/>
        <w:gridCol w:w="1365"/>
        <w:gridCol w:w="1638"/>
        <w:gridCol w:w="6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3" w:hRule="atLeast"/>
        </w:trPr>
        <w:tc>
          <w:tcPr>
            <w:tcW w:w="459"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序</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号</w:t>
            </w:r>
          </w:p>
        </w:tc>
        <w:tc>
          <w:tcPr>
            <w:tcW w:w="1151"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行政处罚决定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文书号</w:t>
            </w:r>
          </w:p>
        </w:tc>
        <w:tc>
          <w:tcPr>
            <w:tcW w:w="703"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案件名称</w:t>
            </w:r>
          </w:p>
        </w:tc>
        <w:tc>
          <w:tcPr>
            <w:tcW w:w="1004"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违法企业名称或违法自然人姓名</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spacing w:val="-8"/>
                <w:sz w:val="24"/>
                <w:szCs w:val="24"/>
              </w:rPr>
            </w:pPr>
            <w:r>
              <w:rPr>
                <w:rFonts w:hint="eastAsia" w:ascii="黑体" w:hAnsi="黑体" w:eastAsia="黑体"/>
                <w:spacing w:val="-8"/>
                <w:sz w:val="24"/>
                <w:szCs w:val="24"/>
              </w:rPr>
              <w:t>违法企业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spacing w:val="-8"/>
                <w:sz w:val="28"/>
                <w:szCs w:val="28"/>
              </w:rPr>
            </w:pPr>
            <w:r>
              <w:rPr>
                <w:rFonts w:hint="eastAsia" w:ascii="黑体" w:hAnsi="黑体" w:eastAsia="黑体"/>
                <w:spacing w:val="-8"/>
                <w:sz w:val="24"/>
                <w:szCs w:val="24"/>
              </w:rPr>
              <w:t>统一信用代码</w:t>
            </w:r>
          </w:p>
        </w:tc>
        <w:tc>
          <w:tcPr>
            <w:tcW w:w="567"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法定代表人姓名</w:t>
            </w:r>
          </w:p>
        </w:tc>
        <w:tc>
          <w:tcPr>
            <w:tcW w:w="7554"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主要违法事实</w:t>
            </w:r>
          </w:p>
        </w:tc>
        <w:tc>
          <w:tcPr>
            <w:tcW w:w="1365"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行政处罚的种类和依据</w:t>
            </w:r>
          </w:p>
        </w:tc>
        <w:tc>
          <w:tcPr>
            <w:tcW w:w="1638"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行政处罚的履行方式和期限</w:t>
            </w:r>
          </w:p>
        </w:tc>
        <w:tc>
          <w:tcPr>
            <w:tcW w:w="676" w:type="dxa"/>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作出处罚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5" w:hRule="atLeast"/>
        </w:trPr>
        <w:tc>
          <w:tcPr>
            <w:tcW w:w="459" w:type="dxa"/>
            <w:noWrap w:val="0"/>
            <w:vAlign w:val="center"/>
          </w:tcPr>
          <w:p>
            <w:pPr>
              <w:jc w:val="center"/>
              <w:rPr>
                <w:rFonts w:ascii="仿宋_GB2312" w:hAnsi="Calibri" w:eastAsia="仿宋_GB2312"/>
                <w:bCs/>
                <w:szCs w:val="21"/>
              </w:rPr>
            </w:pPr>
            <w:r>
              <w:rPr>
                <w:rFonts w:hint="eastAsia" w:ascii="仿宋_GB2312" w:hAnsi="Calibri" w:eastAsia="仿宋_GB2312"/>
                <w:bCs/>
                <w:szCs w:val="21"/>
              </w:rPr>
              <w:t>1</w:t>
            </w:r>
          </w:p>
        </w:tc>
        <w:tc>
          <w:tcPr>
            <w:tcW w:w="1151" w:type="dxa"/>
            <w:noWrap w:val="0"/>
            <w:vAlign w:val="center"/>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autoSpaceDE/>
              <w:autoSpaceDN/>
              <w:bidi w:val="0"/>
              <w:adjustRightInd/>
              <w:snapToGrid/>
              <w:jc w:val="center"/>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autoSpaceDE/>
              <w:autoSpaceDN/>
              <w:bidi w:val="0"/>
              <w:adjustRightInd/>
              <w:snapToGrid/>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sz w:val="24"/>
                <w:szCs w:val="24"/>
                <w:lang w:eastAsia="zh-CN"/>
              </w:rPr>
              <w:t>西市监处罚〔202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〕0</w:t>
            </w:r>
            <w:r>
              <w:rPr>
                <w:rFonts w:hint="eastAsia" w:ascii="仿宋_GB2312" w:hAnsi="仿宋_GB2312" w:eastAsia="仿宋_GB2312" w:cs="仿宋_GB2312"/>
                <w:sz w:val="24"/>
                <w:szCs w:val="24"/>
                <w:lang w:val="en-US" w:eastAsia="zh-CN"/>
              </w:rPr>
              <w:t>450</w:t>
            </w:r>
            <w:r>
              <w:rPr>
                <w:rFonts w:hint="eastAsia" w:ascii="仿宋_GB2312" w:hAnsi="仿宋_GB2312" w:eastAsia="仿宋_GB2312" w:cs="仿宋_GB2312"/>
                <w:sz w:val="24"/>
                <w:szCs w:val="24"/>
                <w:lang w:eastAsia="zh-CN"/>
              </w:rPr>
              <w:t>号</w:t>
            </w:r>
          </w:p>
          <w:p>
            <w:pPr>
              <w:jc w:val="center"/>
              <w:rPr>
                <w:rFonts w:hint="eastAsia" w:ascii="仿宋_GB2312" w:hAnsi="仿宋_GB2312" w:eastAsia="仿宋_GB2312" w:cs="仿宋_GB2312"/>
                <w:sz w:val="24"/>
                <w:szCs w:val="24"/>
                <w:lang w:eastAsia="zh-CN"/>
              </w:rPr>
            </w:pPr>
          </w:p>
        </w:tc>
        <w:tc>
          <w:tcPr>
            <w:tcW w:w="703" w:type="dxa"/>
            <w:noWrap w:val="0"/>
            <w:vAlign w:val="center"/>
          </w:tcPr>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西安嘉美润医疗美容有限公司雁塔</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医疗美容诊所制作发布违法医疗广告案</w:t>
            </w:r>
          </w:p>
        </w:tc>
        <w:tc>
          <w:tcPr>
            <w:tcW w:w="1004"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西安嘉美润医疗美容有限公司雁塔</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医疗美容诊所</w:t>
            </w:r>
          </w:p>
        </w:tc>
        <w:tc>
          <w:tcPr>
            <w:tcW w:w="867" w:type="dxa"/>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91610133MAB0W05462</w:t>
            </w:r>
          </w:p>
        </w:tc>
        <w:tc>
          <w:tcPr>
            <w:tcW w:w="567" w:type="dxa"/>
            <w:noWrap w:val="0"/>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 xml:space="preserve">曹俊锋    </w:t>
            </w:r>
          </w:p>
        </w:tc>
        <w:tc>
          <w:tcPr>
            <w:tcW w:w="7554" w:type="dxa"/>
            <w:noWrap w:val="0"/>
            <w:vAlign w:val="center"/>
          </w:tcPr>
          <w:p>
            <w:pPr>
              <w:keepNext w:val="0"/>
              <w:keepLines w:val="0"/>
              <w:pageBreakBefore w:val="0"/>
              <w:kinsoku/>
              <w:wordWrap/>
              <w:overflowPunct/>
              <w:topLinePunct w:val="0"/>
              <w:autoSpaceDE/>
              <w:autoSpaceDN/>
              <w:bidi w:val="0"/>
              <w:adjustRightInd/>
              <w:snapToGrid/>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查，当事人西安嘉美润医疗美容有限公司雁塔医疗美容诊所于2021年05月12日成立，名称为西安丽星嘉蕊医疗美容有限公司雁塔医疗美容诊所，负责人是关俊芳。当事人于2022年06月29日将负责人关俊芳变更为贾雷明，于2022年08月31日将名称西安丽星嘉蕊医疗美容有限公司雁塔医疗美容诊所变更为西安嘉美润医疗美容有限公司雁塔医疗美容诊所,又于2022年09月28日将负责人贾雷明变更为曹俊锋。当事人为宣传其商品和服务，于2022年03月09日注册微信公众号，2022年03月10日改名称为“西安丽星嘉蕊医疗美容”。微信公众号由当事人企划部员工制作维护。</w:t>
            </w:r>
          </w:p>
          <w:p>
            <w:pPr>
              <w:keepNext w:val="0"/>
              <w:keepLines w:val="0"/>
              <w:pageBreakBefore w:val="0"/>
              <w:kinsoku/>
              <w:wordWrap/>
              <w:overflowPunct/>
              <w:topLinePunct w:val="0"/>
              <w:autoSpaceDE/>
              <w:autoSpaceDN/>
              <w:bidi w:val="0"/>
              <w:adjustRightInd/>
              <w:snapToGrid/>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年05月04日19:30当事人在其微信公众号“西安丽星嘉蕊医疗美容”发布标题为《超声炮和热玛吉哪个效果好？》的文章，文章内容包括文字介绍（什么是超声炮？超声炮是国内唯一“持证上岗”的超声抗衰仪器。是一种聚焦超声波，通过聚焦点产生足够的热量，在人体组织产生凝固点后进行针对性的治疗。超声炮也是国内目前热度最火的项目仪器）、超声炮仪器图片等。当事人并不能提供“超声炮是国内唯一‘持证上岗’的超声抗衰仪器”和“超声炮也是国内目前热度最火的项目仪器”是否属实的相关证明，也不能提供上述宣传的出处，是当事人企划部员工自己制作发布。当事人称其并未开展超声炮相关项目，也未租赁、采购超声炮仪器。执法人员现场检查时（2022年06月21日），未见超声炮相关项目宣传。</w:t>
            </w:r>
          </w:p>
          <w:p>
            <w:pPr>
              <w:keepNext w:val="0"/>
              <w:keepLines w:val="0"/>
              <w:pageBreakBefore w:val="0"/>
              <w:kinsoku/>
              <w:wordWrap/>
              <w:overflowPunct/>
              <w:topLinePunct w:val="0"/>
              <w:autoSpaceDE/>
              <w:autoSpaceDN/>
              <w:bidi w:val="0"/>
              <w:adjustRightInd/>
              <w:snapToGrid/>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当事人在其微信公众号“西安丽星嘉蕊医疗美容”发布的文章内容还有：“眼部抗衰年轻化、眼部一站式解决方案、活动价3777及术前术后眼部照片对比图（三组照片对比）”、“青春支架液态提升、液态抗衰紧致 瞬间提拉 效果持久、活动价3777及术前术后脸部照片对比图（三组照片对比）”、“美人骨-胶原韧带、深层提拉 紧致弹润 年轻持久、活动价9777及术前术后脸部照片对比图（三组照片对比）”等。</w:t>
            </w:r>
          </w:p>
          <w:p>
            <w:pPr>
              <w:keepNext w:val="0"/>
              <w:keepLines w:val="0"/>
              <w:pageBreakBefore w:val="0"/>
              <w:widowControl/>
              <w:kinsoku/>
              <w:wordWrap/>
              <w:overflowPunct/>
              <w:topLinePunct w:val="0"/>
              <w:autoSpaceDE/>
              <w:autoSpaceDN/>
              <w:bidi w:val="0"/>
              <w:adjustRightInd/>
              <w:snapToGrid/>
              <w:spacing w:line="320" w:lineRule="exact"/>
              <w:ind w:firstLine="360" w:firstLineChars="200"/>
              <w:jc w:val="left"/>
              <w:textAlignment w:val="center"/>
              <w:rPr>
                <w:rFonts w:hint="eastAsia" w:ascii="仿宋_GB2312" w:hAnsi="仿宋_GB2312" w:eastAsia="仿宋_GB2312" w:cs="仿宋_GB2312"/>
                <w:color w:val="000000"/>
                <w:sz w:val="18"/>
                <w:szCs w:val="18"/>
              </w:rPr>
            </w:pPr>
          </w:p>
        </w:tc>
        <w:tc>
          <w:tcPr>
            <w:tcW w:w="1365"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罚款人民币</w:t>
            </w:r>
            <w:r>
              <w:rPr>
                <w:rFonts w:hint="eastAsia" w:ascii="仿宋_GB2312" w:hAnsi="仿宋_GB2312" w:eastAsia="仿宋_GB2312" w:cs="仿宋_GB2312"/>
                <w:sz w:val="24"/>
                <w:szCs w:val="24"/>
                <w:lang w:val="en-US" w:eastAsia="zh-CN"/>
              </w:rPr>
              <w:t>10,000</w:t>
            </w:r>
            <w:r>
              <w:rPr>
                <w:rFonts w:hint="eastAsia" w:ascii="仿宋_GB2312" w:hAnsi="仿宋_GB2312" w:eastAsia="仿宋_GB2312" w:cs="仿宋_GB2312"/>
                <w:sz w:val="24"/>
                <w:szCs w:val="24"/>
                <w:lang w:eastAsia="zh-CN"/>
              </w:rPr>
              <w:t>元整。</w:t>
            </w:r>
            <w:r>
              <w:rPr>
                <w:rFonts w:hint="eastAsia" w:ascii="仿宋_GB2312" w:hAnsi="仿宋_GB2312" w:eastAsia="仿宋_GB2312" w:cs="仿宋_GB2312"/>
                <w:sz w:val="24"/>
                <w:szCs w:val="24"/>
              </w:rPr>
              <w:t xml:space="preserve"> </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根据《医疗广告管理办法》第七条第六项和《医疗广告管理办法》第二十二条之</w:t>
            </w:r>
            <w:bookmarkStart w:id="0" w:name="_GoBack"/>
            <w:bookmarkEnd w:id="0"/>
            <w:r>
              <w:rPr>
                <w:rFonts w:hint="eastAsia" w:ascii="仿宋_GB2312" w:hAnsi="仿宋_GB2312" w:eastAsia="仿宋_GB2312" w:cs="仿宋_GB2312"/>
                <w:sz w:val="24"/>
                <w:szCs w:val="24"/>
                <w:lang w:val="en-US" w:eastAsia="zh-CN"/>
              </w:rPr>
              <w:t>规定。</w:t>
            </w:r>
          </w:p>
          <w:p>
            <w:pPr>
              <w:keepNext w:val="0"/>
              <w:keepLines w:val="0"/>
              <w:pageBreakBefore w:val="0"/>
              <w:widowControl w:val="0"/>
              <w:kinsoku/>
              <w:wordWrap w:val="0"/>
              <w:overflowPunct/>
              <w:topLinePunct/>
              <w:autoSpaceDE/>
              <w:autoSpaceDN/>
              <w:bidi w:val="0"/>
              <w:adjustRightInd/>
              <w:snapToGrid/>
              <w:ind w:firstLine="360" w:firstLineChars="200"/>
              <w:jc w:val="left"/>
              <w:textAlignment w:val="auto"/>
              <w:rPr>
                <w:rFonts w:hint="eastAsia" w:ascii="仿宋_GB2312" w:hAnsi="仿宋_GB2312" w:eastAsia="仿宋_GB2312" w:cs="仿宋_GB2312"/>
                <w:sz w:val="18"/>
                <w:szCs w:val="18"/>
              </w:rPr>
            </w:pPr>
          </w:p>
          <w:p>
            <w:pPr>
              <w:ind w:firstLine="360" w:firstLineChars="200"/>
              <w:jc w:val="left"/>
              <w:rPr>
                <w:rFonts w:hint="eastAsia" w:ascii="仿宋_GB2312" w:hAnsi="仿宋_GB2312" w:eastAsia="仿宋_GB2312" w:cs="仿宋_GB2312"/>
                <w:sz w:val="18"/>
                <w:szCs w:val="18"/>
              </w:rPr>
            </w:pPr>
          </w:p>
          <w:p>
            <w:pPr>
              <w:ind w:firstLine="360" w:firstLineChars="200"/>
              <w:jc w:val="left"/>
              <w:rPr>
                <w:rFonts w:hint="eastAsia" w:ascii="仿宋_GB2312" w:hAnsi="仿宋_GB2312" w:eastAsia="仿宋_GB2312" w:cs="仿宋_GB2312"/>
                <w:sz w:val="18"/>
                <w:szCs w:val="18"/>
                <w:lang w:eastAsia="zh-CN"/>
              </w:rPr>
            </w:pPr>
          </w:p>
        </w:tc>
        <w:tc>
          <w:tcPr>
            <w:tcW w:w="1638" w:type="dxa"/>
            <w:noWrap w:val="0"/>
            <w:vAlign w:val="center"/>
          </w:tcPr>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2022年10月14日，我局向当事人送达了《行政处罚决定书》（</w:t>
            </w:r>
            <w:r>
              <w:rPr>
                <w:rFonts w:hint="eastAsia" w:ascii="仿宋_GB2312" w:hAnsi="仿宋_GB2312" w:eastAsia="仿宋_GB2312" w:cs="仿宋_GB2312"/>
                <w:sz w:val="24"/>
                <w:szCs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VGITBAIAAPw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d8Sln&#10;Fgxd+O27mx9vP95+/fL9w83Pb++T/fkTmyapeo8lZSztOhw89OuQeO+aYNKfGLFdlnd/lFfuIhO0&#10;eXZxPpnNSHlBscn0Iqtf/Mn1AeNT6QxLRsUxBlBtF5fOWrpHFyZZYdg+w0jVKfF3QiqsLesJdTY+&#10;SwWABhPfkGE8UUPb5lR0WtVXSuuUgKHdLHVgW0ijkb9EkWD/OpZqrAC74VwODUPTSaif2JrFvSfR&#10;LL0VnjowsuZMS3paySJAKCMofcpJKq1tSpB5cA80k+aDysnauHqfxS+SR0OROz4McJq6uz7Zdx/t&#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yVRiEw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sz w:val="24"/>
                <w:szCs w:val="24"/>
                <w:lang w:val="en-US" w:eastAsia="zh-CN"/>
              </w:rPr>
              <w:t>西市监处罚〔2022〕0450号</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p>
            <w:pPr>
              <w:ind w:firstLine="240" w:firstLineChars="100"/>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24"/>
                <w:szCs w:val="24"/>
                <w:lang w:val="en-US" w:eastAsia="zh-CN"/>
              </w:rPr>
              <w:t>当事人应在收到本处罚决定书之日起十五日内缴纳罚款。到期不缴纳罚款的，依据《中华人民共和国行政处罚法》第七十二条的规定，本局（队）将每日按罚款数额的百分之三加处罚款，并依法申请人民法院强制执行。</w:t>
            </w:r>
          </w:p>
        </w:tc>
        <w:tc>
          <w:tcPr>
            <w:tcW w:w="676" w:type="dxa"/>
            <w:noWrap w:val="0"/>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仿宋_GB2312" w:hAnsi="Calibri" w:eastAsia="仿宋_GB2312"/>
                <w:szCs w:val="21"/>
                <w:lang w:val="en-US" w:eastAsia="zh-CN"/>
              </w:rPr>
            </w:pPr>
            <w:r>
              <w:rPr>
                <w:rFonts w:hint="eastAsia" w:ascii="仿宋_GB2312" w:hAnsi="仿宋_GB2312" w:eastAsia="仿宋_GB2312" w:cs="仿宋_GB2312"/>
                <w:sz w:val="24"/>
                <w:szCs w:val="24"/>
                <w:lang w:val="en-US" w:eastAsia="zh-CN"/>
              </w:rPr>
              <w:t>2022年10月13日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ZWE3OTVjMzE4ZGM1YzZjNmVkNjA3OGUxMDkzYjcifQ=="/>
  </w:docVars>
  <w:rsids>
    <w:rsidRoot w:val="00000000"/>
    <w:rsid w:val="003532FE"/>
    <w:rsid w:val="08C65096"/>
    <w:rsid w:val="0D904732"/>
    <w:rsid w:val="0DED62DF"/>
    <w:rsid w:val="11C0586C"/>
    <w:rsid w:val="123938F7"/>
    <w:rsid w:val="21B94AAF"/>
    <w:rsid w:val="28770B09"/>
    <w:rsid w:val="2C03763E"/>
    <w:rsid w:val="35583148"/>
    <w:rsid w:val="40774870"/>
    <w:rsid w:val="44693896"/>
    <w:rsid w:val="46A240EA"/>
    <w:rsid w:val="482254E2"/>
    <w:rsid w:val="487877F8"/>
    <w:rsid w:val="4B76388E"/>
    <w:rsid w:val="4BFE3061"/>
    <w:rsid w:val="4F8608B2"/>
    <w:rsid w:val="505F4CC8"/>
    <w:rsid w:val="507A7E9B"/>
    <w:rsid w:val="51067963"/>
    <w:rsid w:val="51600E2A"/>
    <w:rsid w:val="5A80010A"/>
    <w:rsid w:val="5B24313F"/>
    <w:rsid w:val="5DBE5856"/>
    <w:rsid w:val="5E1C432A"/>
    <w:rsid w:val="5EB50A07"/>
    <w:rsid w:val="5FDA624B"/>
    <w:rsid w:val="61B03707"/>
    <w:rsid w:val="62C612C9"/>
    <w:rsid w:val="62E735F2"/>
    <w:rsid w:val="64EF4547"/>
    <w:rsid w:val="713772AD"/>
    <w:rsid w:val="73245C89"/>
    <w:rsid w:val="759E7895"/>
    <w:rsid w:val="7A7B6154"/>
    <w:rsid w:val="7CBD1A18"/>
    <w:rsid w:val="7D58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1084</Words>
  <Characters>1181</Characters>
  <Lines>0</Lines>
  <Paragraphs>0</Paragraphs>
  <TotalTime>1</TotalTime>
  <ScaleCrop>false</ScaleCrop>
  <LinksUpToDate>false</LinksUpToDate>
  <CharactersWithSpaces>1190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2022-01-13T03:46:00Z</dcterms:created>
  <dc:creator>lenovo</dc:creator>
  <cp:lastModifiedBy>匚圆几里</cp:lastModifiedBy>
  <cp:lastPrinted>2022-03-08T06:27:00Z</cp:lastPrinted>
  <dcterms:modified xsi:type="dcterms:W3CDTF">2022-10-14T03:19:08Z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E6526559F1594C3C8F685040B668820D</vt:lpwstr>
  </property>
</Properties>
</file>