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r>
        <w:rPr>
          <w:rFonts w:hint="eastAsia" w:ascii="黑体" w:hAnsi="Calibri" w:eastAsia="黑体" w:cs="Times New Roman"/>
          <w:sz w:val="36"/>
          <w:szCs w:val="36"/>
        </w:rPr>
        <w:t>行政处罚案件信息公开表</w:t>
      </w:r>
    </w:p>
    <w:tbl>
      <w:tblPr>
        <w:tblStyle w:val="5"/>
        <w:tblpPr w:leftFromText="180" w:rightFromText="180" w:vertAnchor="text" w:horzAnchor="page" w:tblpXSpec="center" w:tblpY="309"/>
        <w:tblOverlap w:val="never"/>
        <w:tblW w:w="159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9"/>
        <w:gridCol w:w="1466"/>
        <w:gridCol w:w="1478"/>
        <w:gridCol w:w="1601"/>
        <w:gridCol w:w="2330"/>
        <w:gridCol w:w="1091"/>
        <w:gridCol w:w="2031"/>
        <w:gridCol w:w="2268"/>
        <w:gridCol w:w="1418"/>
        <w:gridCol w:w="18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9" w:hRule="atLeast"/>
        </w:trPr>
        <w:tc>
          <w:tcPr>
            <w:tcW w:w="459"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序</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号</w:t>
            </w:r>
          </w:p>
        </w:tc>
        <w:tc>
          <w:tcPr>
            <w:tcW w:w="1466"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行政处罚决定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文书号</w:t>
            </w:r>
          </w:p>
        </w:tc>
        <w:tc>
          <w:tcPr>
            <w:tcW w:w="147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案件名称</w:t>
            </w:r>
          </w:p>
        </w:tc>
        <w:tc>
          <w:tcPr>
            <w:tcW w:w="160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违法企业名称或违法自然人姓名</w:t>
            </w:r>
          </w:p>
        </w:tc>
        <w:tc>
          <w:tcPr>
            <w:tcW w:w="2330"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违法企业</w:t>
            </w:r>
          </w:p>
          <w:p>
            <w:pPr>
              <w:spacing w:line="280" w:lineRule="exact"/>
              <w:jc w:val="center"/>
              <w:rPr>
                <w:rFonts w:ascii="黑体" w:hAnsi="黑体" w:eastAsia="黑体" w:cs="Times New Roman"/>
                <w:spacing w:val="-8"/>
                <w:szCs w:val="21"/>
              </w:rPr>
            </w:pPr>
            <w:r>
              <w:rPr>
                <w:rFonts w:hint="eastAsia" w:ascii="黑体" w:hAnsi="黑体" w:eastAsia="黑体"/>
                <w:spacing w:val="-8"/>
                <w:szCs w:val="21"/>
              </w:rPr>
              <w:t>统一</w:t>
            </w:r>
            <w:r>
              <w:rPr>
                <w:rFonts w:hint="eastAsia" w:ascii="黑体" w:hAnsi="黑体" w:eastAsia="黑体" w:cs="Times New Roman"/>
                <w:spacing w:val="-8"/>
                <w:szCs w:val="21"/>
              </w:rPr>
              <w:t>信用代码</w:t>
            </w:r>
          </w:p>
        </w:tc>
        <w:tc>
          <w:tcPr>
            <w:tcW w:w="109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法定代表人姓名</w:t>
            </w:r>
          </w:p>
        </w:tc>
        <w:tc>
          <w:tcPr>
            <w:tcW w:w="2031"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主要违法事实</w:t>
            </w:r>
          </w:p>
        </w:tc>
        <w:tc>
          <w:tcPr>
            <w:tcW w:w="226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行政处罚的种类和依据</w:t>
            </w:r>
          </w:p>
        </w:tc>
        <w:tc>
          <w:tcPr>
            <w:tcW w:w="1418"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行政处罚的履行方式和期限</w:t>
            </w:r>
          </w:p>
        </w:tc>
        <w:tc>
          <w:tcPr>
            <w:tcW w:w="1842" w:type="dxa"/>
            <w:vAlign w:val="center"/>
          </w:tcPr>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作出处罚</w:t>
            </w:r>
          </w:p>
          <w:p>
            <w:pPr>
              <w:spacing w:line="280" w:lineRule="exact"/>
              <w:jc w:val="center"/>
              <w:rPr>
                <w:rFonts w:ascii="黑体" w:hAnsi="黑体" w:eastAsia="黑体" w:cs="Times New Roman"/>
                <w:spacing w:val="-8"/>
                <w:szCs w:val="21"/>
              </w:rPr>
            </w:pPr>
            <w:r>
              <w:rPr>
                <w:rFonts w:hint="eastAsia" w:ascii="黑体" w:hAnsi="黑体" w:eastAsia="黑体" w:cs="Times New Roman"/>
                <w:spacing w:val="-8"/>
                <w:szCs w:val="21"/>
              </w:rPr>
              <w:t>的日期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5" w:hRule="atLeast"/>
        </w:trPr>
        <w:tc>
          <w:tcPr>
            <w:tcW w:w="459" w:type="dxa"/>
            <w:vAlign w:val="center"/>
          </w:tcPr>
          <w:p>
            <w:pPr>
              <w:jc w:val="center"/>
              <w:rPr>
                <w:rFonts w:hint="eastAsia" w:ascii="仿宋_GB2312" w:hAnsi="Calibri" w:eastAsia="仿宋_GB2312" w:cs="Times New Roman"/>
                <w:bCs/>
                <w:szCs w:val="21"/>
              </w:rPr>
            </w:pPr>
            <w:r>
              <w:rPr>
                <w:rFonts w:hint="eastAsia" w:ascii="仿宋_GB2312" w:hAnsi="Calibri" w:eastAsia="仿宋_GB2312" w:cs="Times New Roman"/>
                <w:bCs/>
                <w:szCs w:val="21"/>
              </w:rPr>
              <w:t>1</w:t>
            </w:r>
          </w:p>
        </w:tc>
        <w:tc>
          <w:tcPr>
            <w:tcW w:w="1466" w:type="dxa"/>
            <w:vAlign w:val="center"/>
          </w:tcPr>
          <w:p>
            <w:pPr>
              <w:jc w:val="center"/>
              <w:rPr>
                <w:rFonts w:hint="eastAsia" w:ascii="仿宋_GB2312" w:hAnsi="Calibri" w:eastAsia="仿宋_GB2312" w:cs="Times New Roman"/>
                <w:szCs w:val="21"/>
              </w:rPr>
            </w:pPr>
            <w:r>
              <w:rPr>
                <w:rFonts w:hint="eastAsia" w:ascii="仿宋_GB2312" w:hAnsi="Times New Roman" w:eastAsia="仿宋_GB2312" w:cs="宋体"/>
                <w:sz w:val="24"/>
                <w:lang w:val="en-US" w:eastAsia="zh-CN"/>
              </w:rPr>
              <w:t>西市监处罚﹝2023﹞0063号</w:t>
            </w:r>
          </w:p>
        </w:tc>
        <w:tc>
          <w:tcPr>
            <w:tcW w:w="1478" w:type="dxa"/>
            <w:vAlign w:val="center"/>
          </w:tcPr>
          <w:p>
            <w:pPr>
              <w:snapToGrid w:val="0"/>
              <w:jc w:val="center"/>
              <w:rPr>
                <w:rFonts w:hint="eastAsia" w:ascii="仿宋_GB2312" w:hAnsi="Times New Roman" w:eastAsia="仿宋_GB2312" w:cs="宋体"/>
                <w:sz w:val="24"/>
                <w:lang w:eastAsia="zh-CN"/>
              </w:rPr>
            </w:pPr>
            <w:r>
              <w:rPr>
                <w:rFonts w:hint="eastAsia" w:ascii="仿宋_GB2312" w:hAnsi="Times New Roman" w:eastAsia="仿宋_GB2312" w:cs="宋体"/>
                <w:sz w:val="24"/>
                <w:lang w:eastAsia="zh-CN"/>
              </w:rPr>
              <w:t>西安人人乐超市有限公司东门购物广场</w:t>
            </w:r>
          </w:p>
          <w:p>
            <w:pPr>
              <w:jc w:val="center"/>
              <w:rPr>
                <w:rFonts w:hint="eastAsia" w:ascii="仿宋_GB2312" w:hAnsi="Calibri" w:eastAsia="仿宋_GB2312" w:cs="Times New Roman"/>
                <w:szCs w:val="21"/>
              </w:rPr>
            </w:pPr>
            <w:r>
              <w:rPr>
                <w:rFonts w:hint="eastAsia" w:ascii="仿宋_GB2312" w:hAnsi="Times New Roman" w:eastAsia="仿宋_GB2312" w:cs="宋体"/>
                <w:sz w:val="24"/>
                <w:lang w:eastAsia="zh-CN"/>
              </w:rPr>
              <w:t>经营农药残留含量超过食品安全标准限量的食用农产品案</w:t>
            </w:r>
          </w:p>
        </w:tc>
        <w:tc>
          <w:tcPr>
            <w:tcW w:w="1601" w:type="dxa"/>
            <w:vAlign w:val="center"/>
          </w:tcPr>
          <w:p>
            <w:pPr>
              <w:snapToGrid w:val="0"/>
              <w:jc w:val="center"/>
              <w:rPr>
                <w:rFonts w:hint="eastAsia" w:ascii="仿宋_GB2312" w:hAnsi="Times New Roman" w:eastAsia="仿宋_GB2312" w:cs="宋体"/>
                <w:sz w:val="24"/>
                <w:lang w:eastAsia="zh-CN"/>
              </w:rPr>
            </w:pPr>
            <w:r>
              <w:rPr>
                <w:rFonts w:hint="eastAsia" w:ascii="仿宋_GB2312" w:hAnsi="Times New Roman" w:eastAsia="仿宋_GB2312" w:cs="宋体"/>
                <w:sz w:val="24"/>
                <w:lang w:eastAsia="zh-CN"/>
              </w:rPr>
              <w:t>西安人人乐超市有限公司东门购物广场</w:t>
            </w:r>
          </w:p>
          <w:p>
            <w:pPr>
              <w:tabs>
                <w:tab w:val="center" w:pos="4153"/>
                <w:tab w:val="right" w:pos="8306"/>
              </w:tabs>
              <w:spacing w:line="560" w:lineRule="exact"/>
              <w:ind w:firstLine="400" w:firstLineChars="200"/>
              <w:rPr>
                <w:rFonts w:hint="eastAsia" w:ascii="宋体" w:hAnsi="宋体" w:eastAsia="宋体" w:cs="宋体"/>
                <w:bCs/>
                <w:color w:val="000000"/>
                <w:sz w:val="20"/>
                <w:szCs w:val="20"/>
                <w:lang w:val="en-US" w:eastAsia="zh-CN"/>
              </w:rPr>
            </w:pPr>
          </w:p>
        </w:tc>
        <w:tc>
          <w:tcPr>
            <w:tcW w:w="2330" w:type="dxa"/>
            <w:vAlign w:val="center"/>
          </w:tcPr>
          <w:p>
            <w:pPr>
              <w:tabs>
                <w:tab w:val="center" w:pos="4153"/>
                <w:tab w:val="right" w:pos="8306"/>
              </w:tabs>
              <w:spacing w:line="560" w:lineRule="exact"/>
              <w:rPr>
                <w:rFonts w:hint="eastAsia" w:ascii="宋体" w:hAnsi="宋体" w:eastAsia="宋体" w:cs="宋体"/>
                <w:bCs/>
                <w:color w:val="000000"/>
                <w:sz w:val="20"/>
                <w:szCs w:val="20"/>
                <w:lang w:val="en-US" w:eastAsia="zh-CN"/>
              </w:rPr>
            </w:pPr>
            <w:r>
              <w:rPr>
                <w:rFonts w:hint="eastAsia" w:ascii="宋体" w:hAnsi="宋体" w:eastAsia="宋体" w:cs="宋体"/>
                <w:bCs/>
                <w:color w:val="000000"/>
                <w:sz w:val="20"/>
                <w:szCs w:val="20"/>
                <w:lang w:val="en-US" w:eastAsia="zh-CN"/>
              </w:rPr>
              <w:t>91610103668676297X</w:t>
            </w:r>
          </w:p>
        </w:tc>
        <w:tc>
          <w:tcPr>
            <w:tcW w:w="1091" w:type="dxa"/>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Cs/>
                <w:color w:val="000000"/>
                <w:sz w:val="20"/>
                <w:szCs w:val="20"/>
                <w:lang w:val="en-US" w:eastAsia="zh-CN"/>
              </w:rPr>
              <w:t>高峰</w:t>
            </w:r>
          </w:p>
        </w:tc>
        <w:tc>
          <w:tcPr>
            <w:tcW w:w="2031" w:type="dxa"/>
            <w:vAlign w:val="center"/>
          </w:tcPr>
          <w:p>
            <w:pPr>
              <w:keepNext w:val="0"/>
              <w:keepLines w:val="0"/>
              <w:pageBreakBefore w:val="0"/>
              <w:tabs>
                <w:tab w:val="center" w:pos="4153"/>
                <w:tab w:val="right" w:pos="8306"/>
              </w:tabs>
              <w:kinsoku/>
              <w:overflowPunct/>
              <w:topLinePunct w:val="0"/>
              <w:autoSpaceDE/>
              <w:autoSpaceDN/>
              <w:bidi w:val="0"/>
              <w:adjustRightInd/>
              <w:spacing w:line="520" w:lineRule="exact"/>
              <w:ind w:firstLine="400" w:firstLineChars="200"/>
              <w:textAlignment w:val="auto"/>
              <w:rPr>
                <w:rFonts w:hint="eastAsia" w:ascii="宋体" w:hAnsi="宋体" w:eastAsia="宋体" w:cs="宋体"/>
                <w:bCs/>
                <w:color w:val="000000"/>
                <w:sz w:val="20"/>
                <w:szCs w:val="20"/>
                <w:lang w:val="en-US" w:eastAsia="zh-CN"/>
              </w:rPr>
            </w:pPr>
            <w:r>
              <w:rPr>
                <w:rFonts w:hint="eastAsia" w:ascii="宋体" w:hAnsi="宋体" w:eastAsia="宋体" w:cs="宋体"/>
                <w:bCs/>
                <w:color w:val="000000"/>
                <w:sz w:val="20"/>
                <w:szCs w:val="20"/>
                <w:lang w:val="en-US" w:eastAsia="zh-CN"/>
              </w:rPr>
              <w:t>西安人人乐超市有限公司东门购物广场购进日期为2022年9月19日的香蕉，经抽样检验，吡虫啉mg/kg,标准指标≤0.05，实测值为0.146，判定为不合格，检验结论吡虫啉项目不符合GB2763-2021《食品安全国家标准食品中农药最大残留限量》要求，检验结论为不合格。</w:t>
            </w:r>
          </w:p>
          <w:p>
            <w:pPr>
              <w:tabs>
                <w:tab w:val="center" w:pos="4153"/>
                <w:tab w:val="right" w:pos="8306"/>
              </w:tabs>
              <w:spacing w:line="560" w:lineRule="exact"/>
              <w:ind w:firstLine="400" w:firstLineChars="200"/>
              <w:rPr>
                <w:rFonts w:hint="eastAsia" w:ascii="宋体" w:hAnsi="宋体" w:eastAsia="宋体" w:cs="宋体"/>
                <w:bCs/>
                <w:color w:val="000000"/>
                <w:sz w:val="20"/>
                <w:szCs w:val="20"/>
              </w:rPr>
            </w:pPr>
            <w:r>
              <w:rPr>
                <w:rFonts w:hint="eastAsia" w:ascii="宋体" w:hAnsi="宋体" w:eastAsia="宋体" w:cs="宋体"/>
                <w:bCs/>
                <w:color w:val="000000"/>
                <w:sz w:val="20"/>
                <w:szCs w:val="20"/>
              </w:rPr>
              <w:t>的行</w:t>
            </w:r>
            <w:r>
              <w:rPr>
                <w:rFonts w:hint="eastAsia" w:ascii="宋体" w:hAnsi="宋体" w:eastAsia="宋体" w:cs="宋体"/>
                <w:bCs/>
                <w:color w:val="000000"/>
                <w:sz w:val="20"/>
                <w:szCs w:val="20"/>
                <w:lang w:val="en-US" w:eastAsia="zh-CN"/>
              </w:rPr>
              <w:t>为，违反了《食用农产品市场销售质量安全监督管理办法》第二十五条规定“禁止销售下列食用农产品：（二）致病性微生物、农药残留、兽药残留、生物毒素、重金属等污染物质以</w:t>
            </w:r>
            <w:r>
              <w:rPr>
                <w:rFonts w:hint="eastAsia" w:ascii="宋体" w:hAnsi="宋体" w:eastAsia="宋体" w:cs="宋体"/>
                <w:bCs/>
                <w:color w:val="000000"/>
                <w:sz w:val="20"/>
                <w:szCs w:val="20"/>
                <w:lang w:val="en-US" w:eastAsia="zh-CN"/>
              </w:rPr>
              <w:t>及其他危害人体健康的物质含量超过食品安全标准限量的；”</w:t>
            </w:r>
          </w:p>
          <w:p>
            <w:pPr>
              <w:widowControl/>
              <w:jc w:val="left"/>
              <w:textAlignment w:val="center"/>
              <w:rPr>
                <w:rFonts w:ascii="宋体" w:hAnsi="宋体" w:eastAsia="宋体" w:cs="宋体"/>
                <w:color w:val="000000"/>
                <w:sz w:val="20"/>
                <w:szCs w:val="20"/>
              </w:rPr>
            </w:pPr>
          </w:p>
        </w:tc>
        <w:tc>
          <w:tcPr>
            <w:tcW w:w="2268" w:type="dxa"/>
            <w:vAlign w:val="center"/>
          </w:tcPr>
          <w:p>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bCs/>
                <w:color w:val="000000"/>
                <w:sz w:val="20"/>
                <w:szCs w:val="20"/>
              </w:rPr>
            </w:pPr>
            <w:r>
              <w:rPr>
                <w:rFonts w:hint="eastAsia" w:ascii="宋体" w:hAnsi="宋体" w:eastAsia="宋体" w:cs="宋体"/>
                <w:bCs/>
                <w:color w:val="000000"/>
                <w:sz w:val="20"/>
                <w:szCs w:val="20"/>
                <w:lang w:val="en-US" w:eastAsia="zh-CN"/>
              </w:rPr>
              <w:t>根据《中华人民共和国食品安全法》第一百二十四条规定“违反本法规定，有下列情形之一，尚不构成犯罪的，由县级以上人民政府食品安全监督管理部</w:t>
            </w:r>
            <w:r>
              <w:rPr>
                <w:rFonts w:hint="eastAsia" w:ascii="宋体" w:hAnsi="宋体" w:eastAsia="宋体" w:cs="宋体"/>
                <w:bCs/>
                <w:color w:val="000000"/>
                <w:sz w:val="20"/>
                <w:szCs w:val="20"/>
              </w:rPr>
              <w:t>门没收违法所得和违法生产经营的食品、食品添加剂，并可以没收用于违法生产经营的工具、设备、原料等物品；违法生产经营的食品、食品添加剂货值金额不足一万元的，并处五万元以上十万元以下罚款</w:t>
            </w:r>
            <w:r>
              <w:rPr>
                <w:rFonts w:hint="eastAsia" w:ascii="宋体" w:hAnsi="宋体" w:eastAsia="宋体" w:cs="宋体"/>
                <w:bCs/>
                <w:color w:val="000000"/>
                <w:sz w:val="20"/>
                <w:szCs w:val="20"/>
              </w:rPr>
              <w:t>；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Pr>
                <w:rFonts w:hint="eastAsia" w:ascii="宋体" w:hAnsi="宋体" w:eastAsia="宋体" w:cs="宋体"/>
                <w:bCs/>
                <w:color w:val="000000"/>
                <w:sz w:val="20"/>
                <w:szCs w:val="20"/>
                <w:lang w:eastAsia="zh-CN"/>
              </w:rPr>
              <w:t>”</w:t>
            </w:r>
            <w:r>
              <w:rPr>
                <w:rFonts w:hint="eastAsia" w:ascii="宋体" w:hAnsi="宋体" w:eastAsia="宋体" w:cs="宋体"/>
                <w:bCs/>
                <w:color w:val="000000"/>
                <w:sz w:val="20"/>
                <w:szCs w:val="20"/>
              </w:rPr>
              <w:t>另依据《中华人民共和国食品安全法》第一百三十六条：</w:t>
            </w:r>
            <w:r>
              <w:rPr>
                <w:rFonts w:hint="eastAsia" w:ascii="宋体" w:hAnsi="宋体" w:eastAsia="宋体" w:cs="宋体"/>
                <w:bCs/>
                <w:color w:val="000000"/>
                <w:sz w:val="20"/>
                <w:szCs w:val="20"/>
                <w:lang w:eastAsia="zh-CN"/>
              </w:rPr>
              <w:t>“</w:t>
            </w:r>
            <w:r>
              <w:rPr>
                <w:rFonts w:hint="eastAsia" w:ascii="宋体" w:hAnsi="宋体" w:eastAsia="宋体" w:cs="宋体"/>
                <w:bCs/>
                <w:color w:val="000000"/>
                <w:sz w:val="20"/>
                <w:szCs w:val="20"/>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hint="eastAsia" w:ascii="宋体" w:hAnsi="宋体" w:eastAsia="宋体" w:cs="宋体"/>
                <w:bCs/>
                <w:color w:val="000000"/>
                <w:sz w:val="20"/>
                <w:szCs w:val="20"/>
                <w:lang w:eastAsia="zh-CN"/>
              </w:rPr>
              <w:t>”。</w:t>
            </w:r>
          </w:p>
          <w:p>
            <w:pPr>
              <w:spacing w:line="260" w:lineRule="exact"/>
              <w:ind w:firstLine="420" w:firstLineChars="200"/>
              <w:rPr>
                <w:rFonts w:hint="eastAsia" w:ascii="仿宋_GB2312" w:hAnsi="Calibri" w:eastAsia="仿宋_GB2312" w:cs="Times New Roman"/>
                <w:szCs w:val="21"/>
              </w:rPr>
            </w:pPr>
          </w:p>
        </w:tc>
        <w:tc>
          <w:tcPr>
            <w:tcW w:w="1418" w:type="dxa"/>
            <w:vAlign w:val="center"/>
          </w:tcPr>
          <w:p>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bCs/>
                <w:color w:val="000000"/>
                <w:sz w:val="20"/>
                <w:szCs w:val="20"/>
                <w:lang w:val="en-US" w:eastAsia="zh-CN"/>
              </w:rPr>
            </w:pPr>
            <w:r>
              <w:rPr>
                <w:rFonts w:hint="eastAsia" w:ascii="宋体" w:hAnsi="宋体" w:eastAsia="宋体" w:cs="宋体"/>
                <w:bCs/>
                <w:color w:val="000000"/>
                <w:sz w:val="20"/>
                <w:szCs w:val="20"/>
                <w:lang w:val="en-US" w:eastAsia="zh-CN"/>
              </w:rPr>
              <w:t>自动履行</w:t>
            </w:r>
          </w:p>
        </w:tc>
        <w:tc>
          <w:tcPr>
            <w:tcW w:w="1842" w:type="dxa"/>
            <w:vAlign w:val="center"/>
          </w:tcPr>
          <w:p>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bCs/>
                <w:color w:val="000000"/>
                <w:sz w:val="20"/>
                <w:szCs w:val="20"/>
                <w:lang w:val="en-US" w:eastAsia="zh-CN"/>
              </w:rPr>
            </w:pPr>
            <w:r>
              <w:rPr>
                <w:rFonts w:hint="eastAsia" w:ascii="宋体" w:hAnsi="宋体" w:eastAsia="宋体" w:cs="宋体"/>
                <w:bCs/>
                <w:color w:val="000000"/>
                <w:sz w:val="20"/>
                <w:szCs w:val="20"/>
                <w:lang w:val="en-US" w:eastAsia="zh-CN"/>
              </w:rPr>
              <w:t>2023年2月23日</w:t>
            </w:r>
          </w:p>
        </w:tc>
      </w:tr>
    </w:tbl>
    <w:p>
      <w:pPr>
        <w:spacing w:line="560" w:lineRule="exact"/>
        <w:rPr>
          <w:rFonts w:hint="eastAsia" w:ascii="仿宋_GB2312" w:eastAsia="仿宋_GB2312"/>
          <w:sz w:val="32"/>
          <w:szCs w:val="32"/>
        </w:rPr>
      </w:pPr>
      <w:bookmarkStart w:id="0" w:name="_GoBack"/>
      <w:bookmarkEnd w:id="0"/>
    </w:p>
    <w:sectPr>
      <w:headerReference r:id="rId3" w:type="default"/>
      <w:footerReference r:id="rId5" w:type="default"/>
      <w:headerReference r:id="rId4" w:type="even"/>
      <w:footerReference r:id="rId6"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Style w:val="7"/>
        <w:rFonts w:ascii="宋体" w:hAnsi="宋体" w:eastAsia="宋体"/>
        <w:sz w:val="28"/>
      </w:rPr>
      <w:t>—</w:t>
    </w:r>
    <w:r>
      <w:rPr>
        <w:rStyle w:val="7"/>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PAGE  </w:instrText>
    </w:r>
    <w:r>
      <w:rPr>
        <w:rStyle w:val="7"/>
        <w:rFonts w:ascii="宋体" w:hAnsi="宋体" w:eastAsia="宋体"/>
        <w:sz w:val="28"/>
      </w:rPr>
      <w:fldChar w:fldCharType="separate"/>
    </w:r>
    <w:r>
      <w:rPr>
        <w:rStyle w:val="7"/>
        <w:rFonts w:ascii="宋体" w:hAnsi="宋体" w:eastAsia="宋体"/>
        <w:sz w:val="28"/>
      </w:rPr>
      <w:t>2</w:t>
    </w:r>
    <w:r>
      <w:rPr>
        <w:rStyle w:val="7"/>
        <w:rFonts w:ascii="宋体" w:hAnsi="宋体" w:eastAsia="宋体"/>
        <w:sz w:val="28"/>
      </w:rPr>
      <w:fldChar w:fldCharType="end"/>
    </w:r>
    <w:r>
      <w:rPr>
        <w:rStyle w:val="7"/>
        <w:rFonts w:hint="eastAsia" w:ascii="宋体" w:hAnsi="宋体" w:eastAsia="宋体"/>
        <w:sz w:val="28"/>
      </w:rPr>
      <w:t xml:space="preserve"> </w:t>
    </w:r>
    <w:r>
      <w:rPr>
        <w:rStyle w:val="7"/>
        <w:rFonts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lOWY0YmIyZDcyNGUyODgyODdhOWVmODhjNTBjMjEifQ=="/>
  </w:docVars>
  <w:rsids>
    <w:rsidRoot w:val="00306513"/>
    <w:rsid w:val="00020888"/>
    <w:rsid w:val="000911E1"/>
    <w:rsid w:val="000A6EF8"/>
    <w:rsid w:val="000D3A9C"/>
    <w:rsid w:val="001036EF"/>
    <w:rsid w:val="001718E9"/>
    <w:rsid w:val="00183D46"/>
    <w:rsid w:val="001B34DD"/>
    <w:rsid w:val="00271875"/>
    <w:rsid w:val="002C532D"/>
    <w:rsid w:val="002D178D"/>
    <w:rsid w:val="002D7818"/>
    <w:rsid w:val="00306513"/>
    <w:rsid w:val="00406A99"/>
    <w:rsid w:val="00432A9C"/>
    <w:rsid w:val="00437F49"/>
    <w:rsid w:val="004A11D8"/>
    <w:rsid w:val="004B138F"/>
    <w:rsid w:val="0059183D"/>
    <w:rsid w:val="005B0672"/>
    <w:rsid w:val="005C0F84"/>
    <w:rsid w:val="00612806"/>
    <w:rsid w:val="00613E42"/>
    <w:rsid w:val="00675C95"/>
    <w:rsid w:val="00686266"/>
    <w:rsid w:val="00724BE3"/>
    <w:rsid w:val="00746637"/>
    <w:rsid w:val="007978AA"/>
    <w:rsid w:val="007B59B4"/>
    <w:rsid w:val="007D65BA"/>
    <w:rsid w:val="00803643"/>
    <w:rsid w:val="0082332C"/>
    <w:rsid w:val="0084074F"/>
    <w:rsid w:val="008F4B9C"/>
    <w:rsid w:val="009473E2"/>
    <w:rsid w:val="00957650"/>
    <w:rsid w:val="00A571A4"/>
    <w:rsid w:val="00AE3540"/>
    <w:rsid w:val="00AF1FFD"/>
    <w:rsid w:val="00B1786B"/>
    <w:rsid w:val="00B42988"/>
    <w:rsid w:val="00BA66F7"/>
    <w:rsid w:val="00BE1B27"/>
    <w:rsid w:val="00C416EC"/>
    <w:rsid w:val="00C41E35"/>
    <w:rsid w:val="00C65737"/>
    <w:rsid w:val="00CA46CD"/>
    <w:rsid w:val="00CF5509"/>
    <w:rsid w:val="00D139F2"/>
    <w:rsid w:val="00D506E7"/>
    <w:rsid w:val="00D57183"/>
    <w:rsid w:val="00D6584F"/>
    <w:rsid w:val="00D7247C"/>
    <w:rsid w:val="00DF1290"/>
    <w:rsid w:val="00EA11F2"/>
    <w:rsid w:val="00EA2BF1"/>
    <w:rsid w:val="00EA3A67"/>
    <w:rsid w:val="00EE5C7F"/>
    <w:rsid w:val="00EF5188"/>
    <w:rsid w:val="00F42A41"/>
    <w:rsid w:val="00F5320E"/>
    <w:rsid w:val="00F75E11"/>
    <w:rsid w:val="042322B8"/>
    <w:rsid w:val="59B1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Char"/>
    <w:basedOn w:val="1"/>
    <w:qFormat/>
    <w:uiPriority w:val="0"/>
    <w:pPr>
      <w:spacing w:line="360" w:lineRule="auto"/>
    </w:pPr>
    <w:rPr>
      <w:rFonts w:ascii="仿宋_GB2312" w:hAnsi="Times New Roman" w:eastAsia="仿宋_GB2312" w:cs="Times New Roman"/>
      <w:b/>
      <w:sz w:val="32"/>
      <w:szCs w:val="32"/>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jiajing</Company>
  <Pages>2</Pages>
  <Words>475</Words>
  <Characters>506</Characters>
  <Lines>3</Lines>
  <Paragraphs>1</Paragraphs>
  <TotalTime>3</TotalTime>
  <ScaleCrop>false</ScaleCrop>
  <LinksUpToDate>false</LinksUpToDate>
  <CharactersWithSpaces>507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2022-09-14T03:24:00Z</dcterms:created>
  <dc:creator>PC</dc:creator>
  <cp:lastModifiedBy>Administrator</cp:lastModifiedBy>
  <dcterms:modified xsi:type="dcterms:W3CDTF">2023-03-02T03:05:25Z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177302AB18D34EA6988A3F60BAEB6179</vt:lpwstr>
  </property>
</Properties>
</file>