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7AF5" w:rsidP="00367AF5">
      <w:pPr>
        <w:jc w:val="center"/>
        <w:rPr>
          <w:rFonts w:ascii="黑体" w:eastAsia="黑体" w:hAnsi="Calibri" w:hint="eastAsia"/>
          <w:sz w:val="36"/>
          <w:szCs w:val="36"/>
        </w:rPr>
      </w:pPr>
      <w:r>
        <w:rPr>
          <w:rFonts w:ascii="黑体" w:eastAsia="黑体" w:hAnsi="Calibri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="581" w:tblpY="707"/>
        <w:tblOverlap w:val="never"/>
        <w:tblW w:w="160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9"/>
        <w:gridCol w:w="1466"/>
        <w:gridCol w:w="1478"/>
        <w:gridCol w:w="1601"/>
        <w:gridCol w:w="1625"/>
        <w:gridCol w:w="1313"/>
        <w:gridCol w:w="2552"/>
        <w:gridCol w:w="2552"/>
        <w:gridCol w:w="1559"/>
        <w:gridCol w:w="1417"/>
      </w:tblGrid>
      <w:tr w:rsidR="00367AF5" w:rsidTr="00367AF5">
        <w:trPr>
          <w:trHeight w:val="769"/>
        </w:trPr>
        <w:tc>
          <w:tcPr>
            <w:tcW w:w="459" w:type="dxa"/>
            <w:vAlign w:val="center"/>
          </w:tcPr>
          <w:p w:rsidR="00367AF5" w:rsidRDefault="00367AF5" w:rsidP="00367AF5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367AF5" w:rsidRDefault="00367AF5" w:rsidP="00367AF5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367AF5" w:rsidRDefault="00367AF5" w:rsidP="00367AF5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367AF5" w:rsidRDefault="00367AF5" w:rsidP="00367AF5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367AF5" w:rsidRDefault="00367AF5" w:rsidP="00367AF5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367AF5" w:rsidRDefault="00367AF5" w:rsidP="00367AF5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1625" w:type="dxa"/>
            <w:vAlign w:val="center"/>
          </w:tcPr>
          <w:p w:rsidR="00367AF5" w:rsidRDefault="00367AF5" w:rsidP="00367AF5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身份证件号码</w:t>
            </w:r>
          </w:p>
        </w:tc>
        <w:tc>
          <w:tcPr>
            <w:tcW w:w="1313" w:type="dxa"/>
            <w:vAlign w:val="center"/>
          </w:tcPr>
          <w:p w:rsidR="00367AF5" w:rsidRDefault="00367AF5" w:rsidP="00367AF5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负责人姓名</w:t>
            </w:r>
          </w:p>
        </w:tc>
        <w:tc>
          <w:tcPr>
            <w:tcW w:w="2552" w:type="dxa"/>
            <w:vAlign w:val="center"/>
          </w:tcPr>
          <w:p w:rsidR="00367AF5" w:rsidRDefault="00367AF5" w:rsidP="00367AF5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552" w:type="dxa"/>
            <w:vAlign w:val="center"/>
          </w:tcPr>
          <w:p w:rsidR="00367AF5" w:rsidRDefault="00367AF5" w:rsidP="00367AF5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 w:rsidR="00367AF5" w:rsidRDefault="00367AF5" w:rsidP="00367AF5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417" w:type="dxa"/>
            <w:vAlign w:val="center"/>
          </w:tcPr>
          <w:p w:rsidR="00367AF5" w:rsidRDefault="00367AF5" w:rsidP="00367AF5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367AF5" w:rsidRDefault="00367AF5" w:rsidP="00367AF5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367AF5" w:rsidTr="00367AF5">
        <w:trPr>
          <w:trHeight w:val="5697"/>
        </w:trPr>
        <w:tc>
          <w:tcPr>
            <w:tcW w:w="459" w:type="dxa"/>
            <w:vAlign w:val="center"/>
          </w:tcPr>
          <w:p w:rsidR="00367AF5" w:rsidRDefault="00367AF5" w:rsidP="00367AF5">
            <w:pPr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367AF5" w:rsidRDefault="00367AF5" w:rsidP="00367AF5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西市监处罚〔2023〕0156号</w:t>
            </w:r>
          </w:p>
        </w:tc>
        <w:tc>
          <w:tcPr>
            <w:tcW w:w="1478" w:type="dxa"/>
            <w:vAlign w:val="center"/>
          </w:tcPr>
          <w:p w:rsidR="00367AF5" w:rsidRDefault="00367AF5" w:rsidP="00367AF5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Times New Roman" w:cs="仿宋" w:hint="eastAsia"/>
                <w:color w:val="000000" w:themeColor="text1"/>
                <w:szCs w:val="21"/>
              </w:rPr>
              <w:t>刘晨阳销售侵犯注册商标专用权商品案</w:t>
            </w:r>
          </w:p>
        </w:tc>
        <w:tc>
          <w:tcPr>
            <w:tcW w:w="1601" w:type="dxa"/>
            <w:vAlign w:val="center"/>
          </w:tcPr>
          <w:p w:rsidR="00367AF5" w:rsidRDefault="00367AF5" w:rsidP="00367AF5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Times New Roman" w:cs="仿宋" w:hint="eastAsia"/>
                <w:color w:val="000000" w:themeColor="text1"/>
                <w:szCs w:val="21"/>
              </w:rPr>
              <w:t>刘晨阳</w:t>
            </w:r>
          </w:p>
        </w:tc>
        <w:tc>
          <w:tcPr>
            <w:tcW w:w="1625" w:type="dxa"/>
            <w:vAlign w:val="center"/>
          </w:tcPr>
          <w:p w:rsidR="00367AF5" w:rsidRDefault="00367AF5" w:rsidP="00367AF5">
            <w:pPr>
              <w:spacing w:line="44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412326199806010312</w:t>
            </w:r>
          </w:p>
          <w:p w:rsidR="00367AF5" w:rsidRDefault="00367AF5" w:rsidP="00367AF5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367AF5" w:rsidRDefault="00367AF5" w:rsidP="00367AF5">
            <w:pPr>
              <w:spacing w:line="540" w:lineRule="exact"/>
              <w:ind w:firstLineChars="200" w:firstLine="420"/>
              <w:rPr>
                <w:rFonts w:ascii="Times New Roman" w:eastAsia="仿宋_GB2312" w:hAnsi="Times New Roman" w:cs="Mongolian Baiti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Times New Roman" w:cs="仿宋" w:hint="eastAsia"/>
                <w:color w:val="000000" w:themeColor="text1"/>
                <w:szCs w:val="21"/>
              </w:rPr>
              <w:t>刘晨阳</w:t>
            </w:r>
          </w:p>
          <w:p w:rsidR="00367AF5" w:rsidRDefault="00367AF5" w:rsidP="00367AF5">
            <w:pPr>
              <w:jc w:val="center"/>
              <w:rPr>
                <w:rFonts w:ascii="仿宋_GB2312" w:eastAsia="仿宋_GB2312" w:hAnsi="Times New Roman" w:cs="仿宋"/>
                <w:color w:val="000000" w:themeColor="text1"/>
                <w:sz w:val="20"/>
                <w:szCs w:val="20"/>
              </w:rPr>
            </w:pPr>
          </w:p>
          <w:p w:rsidR="00367AF5" w:rsidRDefault="00367AF5" w:rsidP="00367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67AF5" w:rsidRDefault="00367AF5" w:rsidP="00367AF5">
            <w:pPr>
              <w:spacing w:line="440" w:lineRule="exact"/>
              <w:ind w:firstLineChars="200" w:firstLine="640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当事人存在三个违法行为。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违法行为一：2022年8月至2023年3月期间，当事人在陕西省西安市经济技术开发区凤城八路西北国金中心D座1层101号商铺未办理营业执照，开展白酒经营活动。共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销售4瓶白酒，其中1瓶六年西凤、1瓶华山论剑二十年西凤、1瓶十五年西凤、1瓶习酒1988。经营额合计1340元，利润为650元，故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违法所得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650元。</w:t>
            </w:r>
          </w:p>
          <w:p w:rsidR="00367AF5" w:rsidRDefault="00367AF5" w:rsidP="00367AF5">
            <w:pPr>
              <w:spacing w:line="440" w:lineRule="exact"/>
              <w:ind w:firstLineChars="200" w:firstLine="640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违法行为二：当事人在销售预包装食品的过程中，进货时未查验许可证和相关证明文件，未建立食品进货查验记录制度。</w:t>
            </w:r>
          </w:p>
          <w:p w:rsidR="00367AF5" w:rsidRDefault="00367AF5" w:rsidP="00367AF5">
            <w:pPr>
              <w:spacing w:line="44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违法行为三：2022年12月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，当事人明知上述30瓶白酒低于市场批发价进行回收，明知进货渠道不符合商业惯例。一次性从同一出售人回收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52%vol 500ml八代五粮液7瓶、45%vol 500ml西凤酒六年陈酿7瓶、45%vol 500ml西凤酒十五年陈酿3瓶、45%vol 500ml西凤酒二十年华山论剑7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瓶、52%vol 500ml国窖1573 2瓶、52%vol 500ml剑南春3瓶、53%vol 500ml习酒窖藏1988 1瓶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。在回收白酒的过程中，不索证索票、不问来源、不记录出售人联系方式，无法说明收购的侵权商品为自己合法取得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并说明提供者。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经四川省宜宾五粮液集团有限公司、陕西西凤酒股份有限公司、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泸州老窖股份有限公司、四川绵竹剑南春酒厂有限公司、贵州习酒股份有限公司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品牌维护人员出具鉴定证明，鉴定上述30瓶白酒为侵犯注册商标专用权的商品。</w:t>
            </w:r>
          </w:p>
          <w:p w:rsidR="00367AF5" w:rsidRDefault="00367AF5" w:rsidP="00367AF5">
            <w:pPr>
              <w:spacing w:line="44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经查，当事人回收上述30瓶白酒未销售，按照52%vol 500ml八代五粮液市场零售指导价1499元/瓶，涉案7瓶八代五粮液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10493元；45%vol 500ml西凤酒六年陈酿指导市场零售价168元/瓶，涉案7瓶西凤酒六年陈酿1176元；45%vol 500ml西凤酒十五年陈酿指导市场零售价288元/瓶，涉案3瓶西凤酒十五年年陈酿864元；45%vol 500ml西凤酒二十年华山论剑指导市场零售价318元/瓶，涉案7瓶西凤酒二十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年华山论剑2226元；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52%vol 500ml国窖1573市场零售价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1399元/瓶，涉案2瓶国窖1573计2798元；52%vol 500ml剑南春市场参考价569元/瓶，涉案3瓶剑南春1707元；53%vol 500ml习酒窖藏1988全国建议零售价898元/瓶，涉案1瓶剑南春898元；合计20162元，故违法经营额合计为20162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元。</w:t>
            </w:r>
          </w:p>
          <w:p w:rsidR="00367AF5" w:rsidRDefault="00367AF5" w:rsidP="00367AF5">
            <w:pPr>
              <w:spacing w:line="12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67AF5" w:rsidRDefault="00367AF5" w:rsidP="00367AF5">
            <w:pPr>
              <w:spacing w:line="440" w:lineRule="exact"/>
              <w:textAlignment w:val="baselin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违法行为一：当事人违反了《中华人民共和国市场主体登记管理条例》第三条第一款之规定，依据《中华人民共和国市场主体登记管理条例》第四十三条之规定，已于2023年3月14日向当事人送达了责令改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正通知书，当事人已于期限内停止经营活动，对当事人处罚如下：</w:t>
            </w:r>
          </w:p>
          <w:p w:rsidR="00367AF5" w:rsidRDefault="00367AF5" w:rsidP="00367AF5">
            <w:pPr>
              <w:spacing w:line="440" w:lineRule="exact"/>
              <w:ind w:firstLineChars="200" w:firstLine="640"/>
              <w:textAlignment w:val="baselin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1、没收违法所得650元。</w:t>
            </w:r>
          </w:p>
          <w:p w:rsidR="00367AF5" w:rsidRDefault="00367AF5" w:rsidP="00367AF5">
            <w:pPr>
              <w:widowControl/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违法行为二：当事人违反了《中华人民共和国食品安全法》第五十三条第二款之规定，依据《中华人民共和国食品安全法》第一百二十六条第三项之规定，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已于2023年3月14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日向当事人送达了责令改正通知书，当事人已于期限内改正。对当事人处罚如下：</w:t>
            </w:r>
          </w:p>
          <w:p w:rsidR="00367AF5" w:rsidRDefault="00367AF5" w:rsidP="00367AF5">
            <w:pPr>
              <w:widowControl/>
              <w:spacing w:line="440" w:lineRule="exact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1、警告。</w:t>
            </w:r>
          </w:p>
          <w:p w:rsidR="00367AF5" w:rsidRDefault="00367AF5" w:rsidP="00367AF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违法行为三：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当事人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违反了《中华人民共和国商标法》第五十七条第一款第三项之规定，依据《中华人民共和国商标法》第六十条第二款之规定，现责令当事人立即停止侵权行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为，并对当事人处罚如下：</w:t>
            </w:r>
          </w:p>
          <w:p w:rsidR="00367AF5" w:rsidRDefault="00367AF5" w:rsidP="00367AF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没收侵犯注册商标专用权的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52%vol 500ml八代五粮液7瓶、45%vol 500ml西凤酒六年陈酿7瓶、45%vol 500ml西凤酒十五年陈酿3瓶、45%vol 500ml西凤酒二十年华山论剑7瓶、52%vol 500ml国窖1573 2瓶、52%vol 500ml剑南春3瓶、53%vol 500ml习酒窖藏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1988 1瓶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，合计30瓶；</w:t>
            </w:r>
          </w:p>
          <w:p w:rsidR="00367AF5" w:rsidRDefault="00367AF5" w:rsidP="00367AF5">
            <w:pPr>
              <w:spacing w:line="440" w:lineRule="exact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处罚款人民币 40000 元。   </w:t>
            </w:r>
          </w:p>
          <w:p w:rsidR="00367AF5" w:rsidRDefault="00367AF5" w:rsidP="00367AF5">
            <w:pPr>
              <w:topLinePunct/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以上罚没款合计人民币40650元</w:t>
            </w:r>
            <w:bookmarkStart w:id="0" w:name="_GoBack"/>
            <w:bookmarkEnd w:id="0"/>
            <w:r>
              <w:rPr>
                <w:rFonts w:ascii="仿宋" w:eastAsia="仿宋" w:hAnsi="仿宋" w:cs="仿宋_GB2312" w:hint="eastAsia"/>
                <w:sz w:val="32"/>
                <w:szCs w:val="32"/>
              </w:rPr>
              <w:t>。</w:t>
            </w:r>
          </w:p>
          <w:p w:rsidR="00367AF5" w:rsidRDefault="00367AF5" w:rsidP="00367AF5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200" w:firstLine="420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67AF5" w:rsidRDefault="00367AF5" w:rsidP="00367AF5">
            <w:pPr>
              <w:jc w:val="lef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lastRenderedPageBreak/>
              <w:t>主动履行接到处罚决定书之日起15日内</w:t>
            </w:r>
          </w:p>
        </w:tc>
        <w:tc>
          <w:tcPr>
            <w:tcW w:w="1417" w:type="dxa"/>
            <w:vAlign w:val="center"/>
          </w:tcPr>
          <w:p w:rsidR="00367AF5" w:rsidRDefault="00367AF5" w:rsidP="00367AF5">
            <w:pPr>
              <w:jc w:val="left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2023年5月10日</w:t>
            </w:r>
          </w:p>
          <w:p w:rsidR="00367AF5" w:rsidRDefault="00367AF5" w:rsidP="00367AF5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</w:tbl>
    <w:p w:rsidR="00367AF5" w:rsidRDefault="00367AF5" w:rsidP="00367AF5">
      <w:pPr>
        <w:jc w:val="center"/>
        <w:rPr>
          <w:rFonts w:ascii="黑体" w:eastAsia="黑体" w:hAnsi="Calibri" w:hint="eastAsia"/>
          <w:sz w:val="36"/>
          <w:szCs w:val="36"/>
        </w:rPr>
      </w:pPr>
    </w:p>
    <w:p w:rsidR="00367AF5" w:rsidRDefault="00367AF5" w:rsidP="00367AF5">
      <w:pPr>
        <w:jc w:val="center"/>
      </w:pPr>
    </w:p>
    <w:sectPr w:rsidR="00367AF5" w:rsidSect="00367A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305" w:rsidRDefault="00481305" w:rsidP="00367AF5">
      <w:r>
        <w:separator/>
      </w:r>
    </w:p>
  </w:endnote>
  <w:endnote w:type="continuationSeparator" w:id="1">
    <w:p w:rsidR="00481305" w:rsidRDefault="00481305" w:rsidP="00367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305" w:rsidRDefault="00481305" w:rsidP="00367AF5">
      <w:r>
        <w:separator/>
      </w:r>
    </w:p>
  </w:footnote>
  <w:footnote w:type="continuationSeparator" w:id="1">
    <w:p w:rsidR="00481305" w:rsidRDefault="00481305" w:rsidP="00367A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AF5"/>
    <w:rsid w:val="00367AF5"/>
    <w:rsid w:val="0048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7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7A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7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7A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</Words>
  <Characters>1488</Characters>
  <Application>Microsoft Office Word</Application>
  <DocSecurity>0</DocSecurity>
  <Lines>12</Lines>
  <Paragraphs>3</Paragraphs>
  <ScaleCrop>false</ScaleCrop>
  <Company>jiajing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用户市场监督综合执法支队</dc:creator>
  <cp:keywords/>
  <dc:description/>
  <cp:lastModifiedBy>用户市场监督综合执法支队</cp:lastModifiedBy>
  <cp:revision>2</cp:revision>
  <dcterms:created xsi:type="dcterms:W3CDTF">2023-05-25T03:54:00Z</dcterms:created>
  <dcterms:modified xsi:type="dcterms:W3CDTF">2023-05-25T03:55:00Z</dcterms:modified>
</cp:coreProperties>
</file>