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6"/>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1200"/>
        <w:gridCol w:w="1091"/>
        <w:gridCol w:w="750"/>
        <w:gridCol w:w="5074"/>
        <w:gridCol w:w="2604"/>
        <w:gridCol w:w="2362"/>
        <w:gridCol w:w="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5074"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2604"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2362"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59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75"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r>
              <w:rPr>
                <w:rFonts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2065"/>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rPr>
              <w:t>西市监处罚〔2023〕</w:t>
            </w:r>
          </w:p>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61</w:t>
            </w:r>
            <w:r>
              <w:rPr>
                <w:rFonts w:hint="eastAsia" w:ascii="仿宋_GB2312" w:hAnsi="仿宋_GB2312" w:eastAsia="仿宋_GB2312" w:cs="仿宋_GB2312"/>
                <w:sz w:val="24"/>
                <w:szCs w:val="24"/>
              </w:rPr>
              <w:t>号</w:t>
            </w:r>
          </w:p>
          <w:p>
            <w:pPr>
              <w:jc w:val="center"/>
              <w:rPr>
                <w:rFonts w:ascii="仿宋_GB2312" w:hAnsi="仿宋_GB2312" w:eastAsia="仿宋_GB2312" w:cs="仿宋_GB2312"/>
                <w:sz w:val="24"/>
                <w:szCs w:val="24"/>
              </w:rPr>
            </w:pPr>
          </w:p>
        </w:tc>
        <w:tc>
          <w:tcPr>
            <w:tcW w:w="879" w:type="dxa"/>
            <w:vAlign w:val="center"/>
          </w:tcPr>
          <w:p>
            <w:pPr>
              <w:topLinePunct/>
              <w:jc w:val="center"/>
              <w:rPr>
                <w:rFonts w:ascii="仿宋_GB2312" w:hAnsi="仿宋_GB2312" w:eastAsia="仿宋_GB2312" w:cs="仿宋_GB2312"/>
                <w:sz w:val="24"/>
                <w:szCs w:val="24"/>
              </w:rPr>
            </w:pPr>
            <w:r>
              <w:rPr>
                <w:rFonts w:hint="eastAsia" w:ascii="仿宋_GB2312" w:hAnsi="Times New Roman" w:eastAsia="仿宋_GB2312" w:cs="仿宋_GB2312"/>
                <w:sz w:val="24"/>
                <w:szCs w:val="24"/>
              </w:rPr>
              <w:t>西安市汉长城保护区盈升祥壁纸经销</w:t>
            </w:r>
            <w:r>
              <w:rPr>
                <w:rFonts w:hint="eastAsia" w:ascii="仿宋_GB2312" w:eastAsia="仿宋_GB2312" w:cs="仿宋_GB2312"/>
                <w:sz w:val="24"/>
                <w:szCs w:val="24"/>
                <w:lang w:val="en-US" w:eastAsia="zh-CN"/>
              </w:rPr>
              <w:t>处不正当竞争</w:t>
            </w:r>
            <w:r>
              <w:rPr>
                <w:rFonts w:hint="eastAsia" w:ascii="仿宋_GB2312" w:hAnsi="仿宋_GB2312" w:eastAsia="仿宋_GB2312" w:cs="仿宋_GB2312"/>
                <w:sz w:val="24"/>
                <w:szCs w:val="24"/>
              </w:rPr>
              <w:t>案</w:t>
            </w:r>
          </w:p>
        </w:tc>
        <w:tc>
          <w:tcPr>
            <w:tcW w:w="1200" w:type="dxa"/>
            <w:vAlign w:val="center"/>
          </w:tcPr>
          <w:p>
            <w:pPr>
              <w:topLinePunct/>
              <w:jc w:val="center"/>
              <w:rPr>
                <w:rFonts w:ascii="仿宋_GB2312" w:hAnsi="仿宋_GB2312" w:eastAsia="仿宋_GB2312" w:cs="仿宋_GB2312"/>
                <w:sz w:val="24"/>
                <w:szCs w:val="24"/>
              </w:rPr>
            </w:pPr>
            <w:r>
              <w:rPr>
                <w:rFonts w:hint="eastAsia" w:ascii="仿宋_GB2312" w:hAnsi="Times New Roman" w:eastAsia="仿宋_GB2312" w:cs="仿宋_GB2312"/>
                <w:sz w:val="32"/>
                <w:szCs w:val="32"/>
              </w:rPr>
              <w:t>黄益智</w:t>
            </w:r>
          </w:p>
        </w:tc>
        <w:tc>
          <w:tcPr>
            <w:tcW w:w="1091" w:type="dxa"/>
            <w:vAlign w:val="center"/>
          </w:tcPr>
          <w:p>
            <w:pPr>
              <w:topLinePunct/>
              <w:jc w:val="center"/>
              <w:rPr>
                <w:rFonts w:ascii="仿宋_GB2312" w:hAnsi="仿宋_GB2312" w:eastAsia="仿宋_GB2312" w:cs="仿宋_GB2312"/>
                <w:sz w:val="24"/>
                <w:szCs w:val="24"/>
              </w:rPr>
            </w:pPr>
            <w:r>
              <w:rPr>
                <w:rFonts w:hint="eastAsia" w:ascii="仿宋_GB2312" w:hAnsi="Times New Roman" w:eastAsia="仿宋_GB2312" w:cs="仿宋_GB2312"/>
                <w:sz w:val="24"/>
                <w:szCs w:val="24"/>
              </w:rPr>
              <w:t>92610112MABN6YAE6P</w:t>
            </w:r>
          </w:p>
        </w:tc>
        <w:tc>
          <w:tcPr>
            <w:tcW w:w="750" w:type="dxa"/>
            <w:vAlign w:val="center"/>
          </w:tcPr>
          <w:p>
            <w:pPr>
              <w:wordWrap w:val="0"/>
              <w:topLinePunct/>
              <w:jc w:val="left"/>
              <w:rPr>
                <w:rFonts w:ascii="仿宋_GB2312" w:hAnsi="仿宋_GB2312" w:eastAsia="仿宋_GB2312" w:cs="仿宋_GB2312"/>
                <w:b/>
                <w:color w:val="000000"/>
                <w:sz w:val="24"/>
                <w:szCs w:val="24"/>
              </w:rPr>
            </w:pPr>
          </w:p>
        </w:tc>
        <w:tc>
          <w:tcPr>
            <w:tcW w:w="5074" w:type="dxa"/>
            <w:vAlign w:val="center"/>
          </w:tcPr>
          <w:p>
            <w:pPr>
              <w:topLinePunct/>
              <w:jc w:val="center"/>
              <w:rPr>
                <w:rFonts w:hint="eastAsia" w:ascii="仿宋_GB2312" w:hAnsi="仿宋_GB2312" w:eastAsia="仿宋_GB2312" w:cs="仿宋_GB2312"/>
                <w:sz w:val="24"/>
                <w:szCs w:val="24"/>
              </w:rPr>
            </w:pPr>
            <w:r>
              <w:rPr>
                <w:rFonts w:hint="eastAsia" w:ascii="仿宋_GB2312" w:hAnsi="Times New Roman" w:eastAsia="仿宋_GB2312" w:cs="仿宋_GB2312"/>
                <w:bCs/>
                <w:sz w:val="24"/>
                <w:szCs w:val="24"/>
              </w:rPr>
              <w:t>当事人于2022年5月开始委托浙江省绍兴市某厂为其加工壁布，在</w:t>
            </w:r>
            <w:r>
              <w:rPr>
                <w:rFonts w:hint="eastAsia" w:ascii="仿宋_GB2312" w:hAnsi="Times New Roman" w:eastAsia="仿宋_GB2312" w:cs="仿宋_GB2312"/>
                <w:sz w:val="24"/>
                <w:szCs w:val="24"/>
              </w:rPr>
              <w:t>西安市未央区汉城街道三官庙村195号进行</w:t>
            </w:r>
            <w:r>
              <w:rPr>
                <w:rFonts w:hint="eastAsia" w:ascii="仿宋_GB2312" w:hAnsi="仿宋" w:eastAsia="仿宋_GB2312" w:cs="仿宋"/>
                <w:color w:val="000000"/>
                <w:sz w:val="24"/>
                <w:szCs w:val="24"/>
              </w:rPr>
              <w:t>批发销售，但销量一般。为了增加销售量，获取更多的交易机会，当事人2022年9月初开始要求壁布生产厂家为其定制封面印有“米兰”字样的壁布版本色卡，免费配送给零售门店作为样本供客户选择壁布使用，该壁布版本色卡与市场上客户认可度较高的“米兰壁纸”形成品牌混淆，使客户误认为当事人销售的壁布就是上海米之兰装饰材料有限公司的产品。据当事人陈述这批印有“米兰”字样壁布版本色卡共420本，由于疫情原因还未开始配送，当事人涉嫌构成故意实施市场混淆的不正当竞争行为。</w:t>
            </w:r>
            <w:r>
              <w:rPr>
                <w:rFonts w:ascii="仿宋_GB2312" w:hAnsi="Times New Roman" w:eastAsia="仿宋_GB2312" w:cs="仿宋_GB2312"/>
                <w:sz w:val="24"/>
                <w:szCs w:val="24"/>
              </w:rPr>
              <w:t xml:space="preserve"> </w:t>
            </w:r>
          </w:p>
          <w:p>
            <w:pPr>
              <w:widowControl/>
              <w:topLinePunct/>
              <w:jc w:val="center"/>
              <w:textAlignment w:val="center"/>
              <w:rPr>
                <w:rFonts w:ascii="仿宋_GB2312" w:hAnsi="仿宋_GB2312" w:eastAsia="仿宋_GB2312" w:cs="仿宋_GB2312"/>
                <w:sz w:val="24"/>
                <w:szCs w:val="24"/>
              </w:rPr>
            </w:pPr>
          </w:p>
        </w:tc>
        <w:tc>
          <w:tcPr>
            <w:tcW w:w="2604" w:type="dxa"/>
            <w:vAlign w:val="top"/>
          </w:tcPr>
          <w:p>
            <w:pPr>
              <w:spacing w:line="520" w:lineRule="exact"/>
              <w:jc w:val="both"/>
              <w:rPr>
                <w:rFonts w:ascii="仿宋_GB2312" w:hAnsi="Times New Roman" w:eastAsia="仿宋_GB2312" w:cs="仿宋_GB2312"/>
                <w:bCs/>
                <w:sz w:val="21"/>
                <w:szCs w:val="21"/>
              </w:rPr>
            </w:pPr>
            <w:r>
              <w:rPr>
                <w:rFonts w:hint="eastAsia" w:ascii="仿宋_GB2312" w:hAnsi="Times New Roman" w:eastAsia="仿宋_GB2312" w:cs="仿宋_GB2312"/>
                <w:sz w:val="21"/>
                <w:szCs w:val="21"/>
              </w:rPr>
              <w:t>1.罚款5000元；</w:t>
            </w:r>
          </w:p>
          <w:p>
            <w:pPr>
              <w:spacing w:line="520" w:lineRule="exact"/>
              <w:jc w:val="both"/>
              <w:rPr>
                <w:rFonts w:ascii="仿宋_GB2312" w:hAnsi="Times New Roman" w:eastAsia="仿宋_GB2312" w:cs="仿宋_GB2312"/>
                <w:bCs/>
                <w:sz w:val="21"/>
                <w:szCs w:val="21"/>
              </w:rPr>
            </w:pPr>
            <w:r>
              <w:rPr>
                <w:rFonts w:hint="eastAsia" w:ascii="仿宋_GB2312" w:hAnsi="Times New Roman" w:eastAsia="仿宋_GB2312" w:cs="仿宋_GB2312"/>
                <w:bCs/>
                <w:sz w:val="21"/>
                <w:szCs w:val="21"/>
              </w:rPr>
              <w:t>2.没收</w:t>
            </w:r>
            <w:r>
              <w:rPr>
                <w:rFonts w:hint="eastAsia" w:ascii="仿宋_GB2312" w:hAnsi="仿宋" w:eastAsia="仿宋_GB2312" w:cs="仿宋"/>
                <w:color w:val="000000"/>
                <w:sz w:val="21"/>
                <w:szCs w:val="21"/>
              </w:rPr>
              <w:t>“米兰  MLANLINGXIU”字样</w:t>
            </w:r>
            <w:r>
              <w:rPr>
                <w:rFonts w:hint="eastAsia" w:ascii="仿宋_GB2312" w:hAnsi="Times New Roman" w:eastAsia="仿宋_GB2312" w:cs="仿宋_GB2312"/>
                <w:bCs/>
                <w:sz w:val="21"/>
                <w:szCs w:val="21"/>
              </w:rPr>
              <w:t>壁布版本色卡420本。</w:t>
            </w:r>
            <w:r>
              <w:rPr>
                <w:rFonts w:hint="eastAsia" w:ascii="仿宋_GB2312" w:hAnsi="Times New Roman" w:eastAsia="仿宋_GB2312" w:cs="仿宋_GB2312"/>
                <w:sz w:val="21"/>
                <w:szCs w:val="21"/>
              </w:rPr>
              <w:t>依据</w:t>
            </w:r>
            <w:r>
              <w:rPr>
                <w:rFonts w:hint="eastAsia" w:ascii="仿宋_GB2312" w:hAnsi="仿宋" w:eastAsia="仿宋_GB2312" w:cs="仿宋"/>
                <w:color w:val="000000"/>
                <w:sz w:val="21"/>
                <w:szCs w:val="21"/>
              </w:rPr>
              <w:t>《中华人民共和国反不正当竞争法》第十八条</w:t>
            </w:r>
            <w:r>
              <w:rPr>
                <w:rFonts w:hint="eastAsia" w:ascii="仿宋_GB2312" w:hAnsi="Times New Roman" w:eastAsia="仿宋_GB2312" w:cs="仿宋_GB2312"/>
                <w:sz w:val="21"/>
                <w:szCs w:val="21"/>
              </w:rPr>
              <w:t>之规定，结合当事人违法行为的具体事实和情节，</w:t>
            </w:r>
            <w:r>
              <w:rPr>
                <w:rFonts w:hint="eastAsia" w:ascii="仿宋_GB2312" w:hAnsi="仿宋" w:eastAsia="仿宋_GB2312" w:cs="仿宋"/>
                <w:color w:val="000000"/>
                <w:sz w:val="21"/>
                <w:szCs w:val="21"/>
              </w:rPr>
              <w:t>责令当事人停止违法行为</w:t>
            </w:r>
            <w:r>
              <w:rPr>
                <w:rFonts w:hint="eastAsia" w:ascii="仿宋_GB2312" w:hAnsi="Times New Roman" w:eastAsia="仿宋_GB2312" w:cs="仿宋_GB2312"/>
                <w:sz w:val="21"/>
                <w:szCs w:val="21"/>
              </w:rPr>
              <w:t>，并对当事人作出行政处罚</w:t>
            </w:r>
          </w:p>
          <w:p>
            <w:pPr>
              <w:jc w:val="both"/>
              <w:rPr>
                <w:rFonts w:ascii="仿宋_GB2312" w:eastAsia="仿宋_GB2312"/>
                <w:sz w:val="21"/>
                <w:szCs w:val="21"/>
              </w:rPr>
            </w:pPr>
          </w:p>
        </w:tc>
        <w:tc>
          <w:tcPr>
            <w:tcW w:w="2362" w:type="dxa"/>
            <w:vAlign w:val="center"/>
          </w:tcPr>
          <w:p>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日，我局向当事人送达了西市监处罚〔2023〕01</w:t>
            </w:r>
            <w:r>
              <w:rPr>
                <w:rFonts w:hint="eastAsia" w:ascii="仿宋_GB2312" w:hAnsi="仿宋_GB2312" w:eastAsia="仿宋_GB2312" w:cs="仿宋_GB2312"/>
                <w:sz w:val="24"/>
                <w:szCs w:val="24"/>
                <w:lang w:val="en-US" w:eastAsia="zh-CN"/>
              </w:rPr>
              <w:t>61</w:t>
            </w:r>
            <w:r>
              <w:rPr>
                <w:rFonts w:hint="eastAsia" w:ascii="仿宋_GB2312" w:hAnsi="仿宋_GB2312" w:eastAsia="仿宋_GB2312" w:cs="仿宋_GB2312"/>
                <w:sz w:val="24"/>
                <w:szCs w:val="24"/>
              </w:rPr>
              <w:t>号行政处罚决定书，当事人应在收到本处罚决定书之日起十五日内缴纳罚款。到期不缴纳罚款的，依据《中华人民共和国行政处罚法》第七十二条的规定，本局</w:t>
            </w:r>
            <w:bookmarkStart w:id="0" w:name="_GoBack"/>
            <w:bookmarkEnd w:id="0"/>
            <w:r>
              <w:rPr>
                <w:rFonts w:hint="eastAsia" w:ascii="仿宋_GB2312" w:hAnsi="仿宋_GB2312" w:eastAsia="仿宋_GB2312" w:cs="仿宋_GB2312"/>
                <w:sz w:val="24"/>
                <w:szCs w:val="24"/>
              </w:rPr>
              <w:t>将每日按罚款数额的百分之三加处罚款，并依法申请人民法院强制执行。</w:t>
            </w:r>
          </w:p>
        </w:tc>
        <w:tc>
          <w:tcPr>
            <w:tcW w:w="590" w:type="dxa"/>
            <w:vAlign w:val="center"/>
          </w:tcPr>
          <w:p>
            <w:pPr>
              <w:topLinePunct/>
              <w:jc w:val="center"/>
              <w:rPr>
                <w:rFonts w:ascii="仿宋_GB2312" w:hAnsi="Calibri" w:eastAsia="仿宋_GB2312"/>
                <w:szCs w:val="21"/>
              </w:rPr>
            </w:pPr>
            <w:r>
              <w:rPr>
                <w:rFonts w:hint="eastAsia" w:ascii="仿宋_GB2312" w:hAnsi="仿宋_GB2312" w:eastAsia="仿宋_GB2312" w:cs="仿宋_GB2312"/>
                <w:sz w:val="24"/>
                <w:szCs w:val="24"/>
              </w:rPr>
              <w:t>2023年0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NWYxY2EzNDNhZTZkOWE2N2RkY2RhNTU4YTU2YzIifQ=="/>
  </w:docVars>
  <w:rsids>
    <w:rsidRoot w:val="00530589"/>
    <w:rsid w:val="001A5F90"/>
    <w:rsid w:val="002002F9"/>
    <w:rsid w:val="002406F2"/>
    <w:rsid w:val="00327A69"/>
    <w:rsid w:val="00341229"/>
    <w:rsid w:val="003532FE"/>
    <w:rsid w:val="00383527"/>
    <w:rsid w:val="004415DD"/>
    <w:rsid w:val="004515B0"/>
    <w:rsid w:val="004B2C49"/>
    <w:rsid w:val="00530589"/>
    <w:rsid w:val="005515D1"/>
    <w:rsid w:val="005E220D"/>
    <w:rsid w:val="00812165"/>
    <w:rsid w:val="008178C2"/>
    <w:rsid w:val="008A0464"/>
    <w:rsid w:val="00932571"/>
    <w:rsid w:val="00964D52"/>
    <w:rsid w:val="009B00D6"/>
    <w:rsid w:val="00AB1534"/>
    <w:rsid w:val="00B16EB9"/>
    <w:rsid w:val="00BA3BA4"/>
    <w:rsid w:val="00BE0CFF"/>
    <w:rsid w:val="00C00B98"/>
    <w:rsid w:val="00CB3328"/>
    <w:rsid w:val="00D01266"/>
    <w:rsid w:val="00DB4E89"/>
    <w:rsid w:val="00E43078"/>
    <w:rsid w:val="00F779B1"/>
    <w:rsid w:val="08C65096"/>
    <w:rsid w:val="0D904732"/>
    <w:rsid w:val="0DED62DF"/>
    <w:rsid w:val="28770B09"/>
    <w:rsid w:val="290750A1"/>
    <w:rsid w:val="35583148"/>
    <w:rsid w:val="487877F8"/>
    <w:rsid w:val="4BFE3061"/>
    <w:rsid w:val="4F61279D"/>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0"/>
    <w:rPr>
      <w:rFonts w:ascii="Times New Roman" w:hAnsi="Times New Roman" w:eastAsia="方正仿宋简体" w:cs="Times New Roman"/>
      <w:kern w:val="2"/>
      <w:sz w:val="18"/>
      <w:szCs w:val="18"/>
    </w:rPr>
  </w:style>
  <w:style w:type="character" w:customStyle="1" w:styleId="9">
    <w:name w:val="页脚 Char"/>
    <w:basedOn w:val="7"/>
    <w:link w:val="3"/>
    <w:qFormat/>
    <w:uiPriority w:val="0"/>
    <w:rPr>
      <w:rFonts w:ascii="Times New Roman" w:hAnsi="Times New Roman" w:eastAsia="方正仿宋简体" w:cs="Times New Roman"/>
      <w:kern w:val="2"/>
      <w:sz w:val="18"/>
      <w:szCs w:val="18"/>
    </w:rPr>
  </w:style>
  <w:style w:type="character" w:customStyle="1" w:styleId="10">
    <w:name w:val="批注框文本 Char"/>
    <w:basedOn w:val="7"/>
    <w:link w:val="2"/>
    <w:qFormat/>
    <w:uiPriority w:val="0"/>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624</Words>
  <Characters>690</Characters>
  <Lines>4</Lines>
  <Paragraphs>1</Paragraphs>
  <TotalTime>4</TotalTime>
  <ScaleCrop>false</ScaleCrop>
  <LinksUpToDate>false</LinksUpToDate>
  <CharactersWithSpaces>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2022-09-29T07:35:00Z</dcterms:created>
  <dc:creator>lenovo</dc:creator>
  <cp:lastModifiedBy>WPS_1685001984</cp:lastModifiedBy>
  <cp:lastPrinted>2022-03-08T06:27:00Z</cp:lastPrinted>
  <dcterms:modified xsi:type="dcterms:W3CDTF">2023-05-25T08:28:26Z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AC3666C1895B47E2A4307B0C9DAD29A5_13</vt:lpwstr>
  </property>
</Properties>
</file>