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Calibri" w:eastAsia="黑体"/>
          <w:sz w:val="36"/>
          <w:szCs w:val="36"/>
        </w:rPr>
        <w:t>行政处罚案件信息公开表</w:t>
      </w:r>
    </w:p>
    <w:tbl>
      <w:tblPr>
        <w:tblStyle w:val="6"/>
        <w:tblpPr w:leftFromText="180" w:rightFromText="180" w:vertAnchor="text" w:horzAnchor="page" w:tblpXSpec="center" w:tblpY="3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975"/>
        <w:gridCol w:w="879"/>
        <w:gridCol w:w="1200"/>
        <w:gridCol w:w="1091"/>
        <w:gridCol w:w="750"/>
        <w:gridCol w:w="5350"/>
        <w:gridCol w:w="2478"/>
        <w:gridCol w:w="2212"/>
        <w:gridCol w:w="5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4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号</w:t>
            </w:r>
          </w:p>
        </w:tc>
        <w:tc>
          <w:tcPr>
            <w:tcW w:w="97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文书号</w:t>
            </w:r>
          </w:p>
        </w:tc>
        <w:tc>
          <w:tcPr>
            <w:tcW w:w="87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案件名称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违法企业名称或违法自然人姓名</w:t>
            </w:r>
          </w:p>
        </w:tc>
        <w:tc>
          <w:tcPr>
            <w:tcW w:w="109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统一信用代码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法定代表人姓名</w:t>
            </w:r>
          </w:p>
        </w:tc>
        <w:tc>
          <w:tcPr>
            <w:tcW w:w="535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主要违法事实</w:t>
            </w:r>
          </w:p>
        </w:tc>
        <w:tc>
          <w:tcPr>
            <w:tcW w:w="247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行政处罚的种类和依据</w:t>
            </w:r>
          </w:p>
        </w:tc>
        <w:tc>
          <w:tcPr>
            <w:tcW w:w="2212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行政处罚的履行方式和期限</w:t>
            </w:r>
          </w:p>
        </w:tc>
        <w:tc>
          <w:tcPr>
            <w:tcW w:w="59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szCs w:val="28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Cs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szCs w:val="21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opLinePunct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opLinePunct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20802600</wp:posOffset>
                      </wp:positionV>
                      <wp:extent cx="5761990" cy="1270"/>
                      <wp:effectExtent l="9525" t="9525" r="19685" b="12065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1270"/>
                              </a:xfrm>
                              <a:prstGeom prst="straightConnector1">
                                <a:avLst/>
                              </a:prstGeom>
                              <a:ln w="190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mxBP2BAIAAP4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Nk0CS&#10;WDB047fvbn68/Xj79cv3Dzc/v71P9udPjOIkVu+xpJylXYeDh34dEvNdE0z6Eye2ywLvjwLLXWSC&#10;Ns8uziezGRUSFJtMLzJk8SfXB4xPpTMsGRXHGEC1XVw6a+kmXZhkjWH7DCNVp8TfCamwtqwn1Nn4&#10;LBUAGk18Q4bxRA5tm1PRaVVfKa1TAoZ2s9SBbSENR/4SRYL961iqsQLshnM5NIxNJ6F+YmsW955U&#10;s/RaeOrAyJozLelxJYsAoYyg9CknqbS2KUHm0T3QTJoPKidr4+p9Fr9IHo1F7vgwwmnu7vpk3322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5sQT9gQCAAD+AwAADgAAAAAAAAABACAAAAAp&#10;AQAAZHJzL2Uyb0RvYy54bWxQSwUGAAAAAAYABgBZAQAAnwUAAAAA&#10;">
                      <v:fill on="f" focussize="0,0"/>
                      <v:stroke weight="1.5pt" color="#000000" joinstyle="round" endcap="square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西市监处罚〔2023〕</w:t>
            </w:r>
          </w:p>
          <w:p>
            <w:pPr>
              <w:topLinePunct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topLinePunct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西安国际港务区新重德汽配商行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销售侵犯注册商标专用权商品案</w:t>
            </w:r>
          </w:p>
        </w:tc>
        <w:tc>
          <w:tcPr>
            <w:tcW w:w="1200" w:type="dxa"/>
            <w:vAlign w:val="center"/>
          </w:tcPr>
          <w:p>
            <w:pPr>
              <w:topLinePunct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关云梅</w:t>
            </w:r>
          </w:p>
        </w:tc>
        <w:tc>
          <w:tcPr>
            <w:tcW w:w="1091" w:type="dxa"/>
            <w:vAlign w:val="center"/>
          </w:tcPr>
          <w:p>
            <w:pPr>
              <w:topLinePunct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92610139MA6UWDQW2J</w:t>
            </w:r>
          </w:p>
        </w:tc>
        <w:tc>
          <w:tcPr>
            <w:tcW w:w="750" w:type="dxa"/>
            <w:vAlign w:val="center"/>
          </w:tcPr>
          <w:p>
            <w:pPr>
              <w:wordWrap w:val="0"/>
              <w:topLinePunct/>
              <w:jc w:val="left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经查，当事人</w:t>
            </w:r>
            <w:r>
              <w:rPr>
                <w:rFonts w:hint="eastAsia" w:ascii="仿宋_GB2312" w:hAnsi="Times New Roman" w:eastAsia="仿宋_GB2312" w:cs="仿宋_GB2312"/>
                <w:sz w:val="15"/>
                <w:szCs w:val="15"/>
              </w:rPr>
              <w:t>西安国际港务区新重德汽配商行于2023年1月10日从西安玉祥门公交汽配城三排六号以21000元的价格购买了</w:t>
            </w:r>
            <w:r>
              <w:rPr>
                <w:rFonts w:hint="eastAsia" w:ascii="仿宋_GB2312" w:hAnsi="Times New Roman" w:eastAsia="仿宋_GB2312" w:cs="仿宋"/>
                <w:sz w:val="15"/>
                <w:szCs w:val="15"/>
              </w:rPr>
              <w:t>标识</w:t>
            </w:r>
            <w:r>
              <w:rPr>
                <w:rFonts w:ascii="Times New Roman" w:hAnsi="Times New Roman" w:eastAsia="仿宋_GB2312" w:cs="仿宋"/>
                <w:sz w:val="15"/>
                <w:szCs w:val="15"/>
              </w:rPr>
              <w:drawing>
                <wp:inline distT="0" distB="0" distL="114300" distR="114300">
                  <wp:extent cx="212725" cy="105410"/>
                  <wp:effectExtent l="0" t="0" r="635" b="127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_GB2312" w:cs="仿宋"/>
                <w:sz w:val="15"/>
                <w:szCs w:val="15"/>
              </w:rPr>
              <w:t>（陕汽）商标的商品</w:t>
            </w:r>
            <w:r>
              <w:rPr>
                <w:rFonts w:hint="eastAsia" w:ascii="仿宋_GB2312" w:hAnsi="Times New Roman" w:eastAsia="仿宋_GB2312" w:cs="宋体"/>
                <w:sz w:val="15"/>
                <w:szCs w:val="15"/>
              </w:rPr>
              <w:t>角关节轴承：型号199114520042,606个，型号06.32499.0155,160个；离合器压盘：型号SZ916000702，4个；标识有</w:t>
            </w:r>
            <w:r>
              <w:rPr>
                <w:rFonts w:ascii="仿宋_GB2312" w:hAnsi="Times New Roman" w:eastAsia="仿宋_GB2312" w:cs="宋体"/>
                <w:sz w:val="15"/>
                <w:szCs w:val="15"/>
              </w:rPr>
              <w:drawing>
                <wp:inline distT="0" distB="0" distL="114300" distR="114300">
                  <wp:extent cx="213995" cy="119380"/>
                  <wp:effectExtent l="0" t="0" r="14605" b="254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Times New Roman" w:eastAsia="仿宋_GB2312" w:cs="宋体"/>
                <w:sz w:val="15"/>
                <w:szCs w:val="15"/>
              </w:rPr>
              <w:t>（汉德）商标的轴承：型号3017，280个，型号32314BX，64个，型号32313BX,54个，型号32017X,87个,型号917/65ZSV,130个，型号32020X，50个，型号91212ZSV/YA,100个，型号31313，70个，型号30313/YB2,72个，型号33218，60个，33216X2-1，156个，型号6033HD90149326033，150个，DA90149326013，120个，型号6216/C4，68个，型号32310，132个，型号32226，34个，型号33022，52个，型号32314BX3,28个，型号33019，37个，型号32224，35个，型号06.32499.0132,30个，型号30214，91个，型号363021，46个；后轮毂：型号HD90120840344，12箱，型号HD90129340192，28箱</w:t>
            </w:r>
            <w:r>
              <w:rPr>
                <w:rFonts w:hint="eastAsia" w:ascii="Times New Roman" w:hAnsi="Times New Roman" w:eastAsia="仿宋_GB2312" w:cs="仿宋"/>
                <w:sz w:val="15"/>
                <w:szCs w:val="15"/>
              </w:rPr>
              <w:t>，</w:t>
            </w:r>
            <w:r>
              <w:rPr>
                <w:rFonts w:hint="eastAsia" w:ascii="仿宋_GB2312" w:hAnsi="Times New Roman" w:eastAsia="仿宋_GB2312" w:cs="仿宋_GB2312"/>
                <w:sz w:val="15"/>
                <w:szCs w:val="15"/>
              </w:rPr>
              <w:t>共计2756件，由于该市场目前已拆迁，当事人提供的商品来源无法查实。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经比对上述配件市场销售价格、当事人销售标签价格、实际销售价格等因素，综合认定以上商品违法经营额为44722元人民币整。</w:t>
            </w:r>
          </w:p>
        </w:tc>
        <w:tc>
          <w:tcPr>
            <w:tcW w:w="2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00" w:firstLineChars="200"/>
              <w:jc w:val="left"/>
              <w:textAlignment w:val="top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1、罚款人民币45000（肆万伍千）元整；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00" w:firstLineChars="200"/>
              <w:jc w:val="left"/>
              <w:textAlignment w:val="top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2、没收侵犯</w:t>
            </w:r>
            <w:r>
              <w:rPr>
                <w:rFonts w:ascii="仿宋_GB2312" w:hAnsi="仿宋_GB2312" w:eastAsia="仿宋_GB2312" w:cs="仿宋_GB2312"/>
                <w:sz w:val="15"/>
                <w:szCs w:val="15"/>
              </w:rPr>
              <w:drawing>
                <wp:inline distT="0" distB="0" distL="114300" distR="114300">
                  <wp:extent cx="103505" cy="76200"/>
                  <wp:effectExtent l="0" t="0" r="3175" b="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（汉德）注册商标专用权的轴承1946个、轮毂40个（见清单）；</w:t>
            </w:r>
            <w:r>
              <w:rPr>
                <w:rFonts w:ascii="Times New Roman" w:hAnsi="Times New Roman" w:eastAsia="仿宋_GB2312" w:cs="仿宋"/>
                <w:sz w:val="15"/>
                <w:szCs w:val="15"/>
              </w:rPr>
              <w:drawing>
                <wp:inline distT="0" distB="0" distL="114300" distR="114300">
                  <wp:extent cx="165100" cy="190500"/>
                  <wp:effectExtent l="0" t="0" r="2540" b="7620"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_GB2312" w:cs="仿宋"/>
                <w:sz w:val="15"/>
                <w:szCs w:val="15"/>
              </w:rPr>
              <w:t>（陕汽）注册商标专用权的离合器压盘4个、角关节轴承766个（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见清单</w:t>
            </w:r>
            <w:r>
              <w:rPr>
                <w:rFonts w:hint="eastAsia" w:ascii="Times New Roman" w:hAnsi="Times New Roman" w:eastAsia="仿宋_GB2312" w:cs="仿宋"/>
                <w:sz w:val="15"/>
                <w:szCs w:val="15"/>
              </w:rPr>
              <w:t>）；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违反了《中华人民共和国商标法》第五十七条第一款第三项之规定。已构成销售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侵犯注册商标专用权商品的违法行为。</w:t>
            </w:r>
          </w:p>
          <w:bookmarkEnd w:id="0"/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2023年0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日，我局向当事人送达了西市监处罚〔2023〕01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行政处罚决定书，当事人应在收到本处罚决定书之日起十五日内缴纳罚款。到期不缴纳罚款的，依据《中华人民共和国行政处罚法》第七十二条的规定，本局（队）将每日按罚款数额的百分之三加处罚款，并依法申请人民法院强制执行。</w:t>
            </w:r>
          </w:p>
        </w:tc>
        <w:tc>
          <w:tcPr>
            <w:tcW w:w="590" w:type="dxa"/>
            <w:vAlign w:val="center"/>
          </w:tcPr>
          <w:p>
            <w:pPr>
              <w:topLinePunct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NWYxY2EzNDNhZTZkOWE2N2RkY2RhNTU4YTU2YzIifQ=="/>
  </w:docVars>
  <w:rsids>
    <w:rsidRoot w:val="00530589"/>
    <w:rsid w:val="001A5F90"/>
    <w:rsid w:val="002002F9"/>
    <w:rsid w:val="002406F2"/>
    <w:rsid w:val="00327A69"/>
    <w:rsid w:val="00341229"/>
    <w:rsid w:val="003532FE"/>
    <w:rsid w:val="00383527"/>
    <w:rsid w:val="004415DD"/>
    <w:rsid w:val="004515B0"/>
    <w:rsid w:val="004B2C49"/>
    <w:rsid w:val="00530589"/>
    <w:rsid w:val="005515D1"/>
    <w:rsid w:val="005E220D"/>
    <w:rsid w:val="00812165"/>
    <w:rsid w:val="008178C2"/>
    <w:rsid w:val="008A0464"/>
    <w:rsid w:val="00932571"/>
    <w:rsid w:val="00964D52"/>
    <w:rsid w:val="009B00D6"/>
    <w:rsid w:val="00AB1534"/>
    <w:rsid w:val="00B16EB9"/>
    <w:rsid w:val="00BA3BA4"/>
    <w:rsid w:val="00BE0CFF"/>
    <w:rsid w:val="00C00B98"/>
    <w:rsid w:val="00CB3328"/>
    <w:rsid w:val="00D01266"/>
    <w:rsid w:val="00DB4E89"/>
    <w:rsid w:val="00E43078"/>
    <w:rsid w:val="00F779B1"/>
    <w:rsid w:val="08C65096"/>
    <w:rsid w:val="0D904732"/>
    <w:rsid w:val="0DED62DF"/>
    <w:rsid w:val="22C17877"/>
    <w:rsid w:val="27455C6D"/>
    <w:rsid w:val="28770B09"/>
    <w:rsid w:val="35583148"/>
    <w:rsid w:val="487877F8"/>
    <w:rsid w:val="4BFE3061"/>
    <w:rsid w:val="51067963"/>
    <w:rsid w:val="5A80010A"/>
    <w:rsid w:val="5B24313F"/>
    <w:rsid w:val="5FDA624B"/>
    <w:rsid w:val="62C612C9"/>
    <w:rsid w:val="62E735F2"/>
    <w:rsid w:val="64EF4547"/>
    <w:rsid w:val="713772AD"/>
    <w:rsid w:val="73245C89"/>
    <w:rsid w:val="759E7895"/>
    <w:rsid w:val="7A7B6154"/>
    <w:rsid w:val="7CB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方正仿宋简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方正仿宋简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rFonts w:ascii="Times New Roman" w:hAnsi="Times New Roman" w:eastAsia="方正仿宋简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757</Words>
  <Characters>1081</Characters>
  <Lines>4</Lines>
  <Paragraphs>1</Paragraphs>
  <TotalTime>7</TotalTime>
  <ScaleCrop>false</ScaleCrop>
  <LinksUpToDate>false</LinksUpToDate>
  <CharactersWithSpaces>1081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2022-09-29T07:35:00Z</dcterms:created>
  <dc:creator>lenovo</dc:creator>
  <cp:lastModifiedBy>WPS_1685001984</cp:lastModifiedBy>
  <cp:lastPrinted>2022-03-08T06:27:00Z</cp:lastPrinted>
  <dcterms:modified xsi:type="dcterms:W3CDTF">2023-05-25T09:03:54Z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5D229A5D1EAD4321960600338C2B5A3B_13</vt:lpwstr>
  </property>
</Properties>
</file>