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w:t>
      </w:r>
      <w:r w:rsidR="00BB032D">
        <w:rPr>
          <w:rFonts w:ascii="方正小标宋简体" w:eastAsia="方正小标宋简体" w:hint="eastAsia"/>
          <w:sz w:val="36"/>
        </w:rPr>
        <w:t>20</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7B1806" w:rsidRPr="005D7E42" w:rsidRDefault="007B1806">
      <w:pPr>
        <w:rPr>
          <w:b/>
        </w:rPr>
      </w:pPr>
      <w:r>
        <w:rPr>
          <w:rFonts w:hint="eastAsia"/>
          <w:sz w:val="24"/>
        </w:rPr>
        <w:t>作出处罚的机关名称</w:t>
      </w:r>
      <w:r>
        <w:rPr>
          <w:rFonts w:hint="eastAsia"/>
          <w:b/>
          <w:sz w:val="24"/>
        </w:rPr>
        <w:t>：</w:t>
      </w:r>
      <w:r w:rsidRPr="005D7E42">
        <w:rPr>
          <w:rFonts w:hint="eastAsia"/>
          <w:b/>
          <w:sz w:val="24"/>
        </w:rPr>
        <w:t>西安市</w:t>
      </w:r>
      <w:r w:rsidR="00BB032D">
        <w:rPr>
          <w:rFonts w:hint="eastAsia"/>
          <w:b/>
          <w:sz w:val="24"/>
        </w:rPr>
        <w:t>市场</w:t>
      </w:r>
      <w:r w:rsidRPr="005D7E42">
        <w:rPr>
          <w:rFonts w:hint="eastAsia"/>
          <w:b/>
          <w:sz w:val="24"/>
        </w:rPr>
        <w:t>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2126"/>
        <w:gridCol w:w="992"/>
        <w:gridCol w:w="1418"/>
        <w:gridCol w:w="992"/>
        <w:gridCol w:w="1843"/>
        <w:gridCol w:w="3543"/>
        <w:gridCol w:w="1701"/>
        <w:gridCol w:w="851"/>
      </w:tblGrid>
      <w:tr w:rsidR="007B1806" w:rsidRPr="00654582" w:rsidTr="00DC553C">
        <w:trPr>
          <w:trHeight w:val="1018"/>
        </w:trPr>
        <w:tc>
          <w:tcPr>
            <w:tcW w:w="392" w:type="dxa"/>
            <w:vAlign w:val="center"/>
          </w:tcPr>
          <w:p w:rsidR="007B1806" w:rsidRPr="00654582" w:rsidRDefault="007B1806" w:rsidP="008E681A">
            <w:pPr>
              <w:jc w:val="center"/>
              <w:rPr>
                <w:sz w:val="24"/>
              </w:rPr>
            </w:pPr>
            <w:r w:rsidRPr="00654582">
              <w:rPr>
                <w:rFonts w:hint="eastAsia"/>
                <w:sz w:val="24"/>
              </w:rPr>
              <w:t>序号</w:t>
            </w:r>
          </w:p>
        </w:tc>
        <w:tc>
          <w:tcPr>
            <w:tcW w:w="1276" w:type="dxa"/>
            <w:vAlign w:val="center"/>
          </w:tcPr>
          <w:p w:rsidR="007B1806" w:rsidRPr="00654582" w:rsidRDefault="007B1806" w:rsidP="008E681A">
            <w:pPr>
              <w:jc w:val="center"/>
              <w:rPr>
                <w:sz w:val="24"/>
              </w:rPr>
            </w:pPr>
            <w:r w:rsidRPr="00654582">
              <w:rPr>
                <w:rFonts w:hint="eastAsia"/>
                <w:sz w:val="24"/>
              </w:rPr>
              <w:t>行政处罚决定书文号</w:t>
            </w:r>
          </w:p>
        </w:tc>
        <w:tc>
          <w:tcPr>
            <w:tcW w:w="2126" w:type="dxa"/>
            <w:vAlign w:val="center"/>
          </w:tcPr>
          <w:p w:rsidR="007B1806" w:rsidRPr="00654582" w:rsidRDefault="007B1806" w:rsidP="008E681A">
            <w:pPr>
              <w:jc w:val="center"/>
              <w:rPr>
                <w:sz w:val="24"/>
              </w:rPr>
            </w:pPr>
            <w:r w:rsidRPr="00654582">
              <w:rPr>
                <w:rFonts w:hint="eastAsia"/>
                <w:sz w:val="24"/>
              </w:rPr>
              <w:t>案件名称</w:t>
            </w:r>
          </w:p>
        </w:tc>
        <w:tc>
          <w:tcPr>
            <w:tcW w:w="992" w:type="dxa"/>
            <w:vAlign w:val="center"/>
          </w:tcPr>
          <w:p w:rsidR="007B1806" w:rsidRPr="00654582" w:rsidRDefault="007B1806" w:rsidP="008E681A">
            <w:pPr>
              <w:jc w:val="center"/>
              <w:rPr>
                <w:sz w:val="24"/>
              </w:rPr>
            </w:pPr>
            <w:r w:rsidRPr="00654582">
              <w:rPr>
                <w:rFonts w:hint="eastAsia"/>
                <w:sz w:val="24"/>
              </w:rPr>
              <w:t>违法企业名称或违法自然人姓名</w:t>
            </w:r>
          </w:p>
        </w:tc>
        <w:tc>
          <w:tcPr>
            <w:tcW w:w="1418" w:type="dxa"/>
            <w:vAlign w:val="center"/>
          </w:tcPr>
          <w:p w:rsidR="007B1806" w:rsidRPr="00654582" w:rsidRDefault="004D56B0" w:rsidP="008E681A">
            <w:pPr>
              <w:jc w:val="center"/>
              <w:rPr>
                <w:sz w:val="24"/>
              </w:rPr>
            </w:pPr>
            <w:r>
              <w:rPr>
                <w:rFonts w:hint="eastAsia"/>
                <w:sz w:val="24"/>
              </w:rPr>
              <w:t>统一社会信用代码</w:t>
            </w:r>
          </w:p>
        </w:tc>
        <w:tc>
          <w:tcPr>
            <w:tcW w:w="992" w:type="dxa"/>
            <w:vAlign w:val="center"/>
          </w:tcPr>
          <w:p w:rsidR="007B1806" w:rsidRPr="00654582" w:rsidRDefault="007B1806" w:rsidP="008E681A">
            <w:pPr>
              <w:jc w:val="center"/>
              <w:rPr>
                <w:sz w:val="24"/>
              </w:rPr>
            </w:pPr>
            <w:r w:rsidRPr="00654582">
              <w:rPr>
                <w:rFonts w:hint="eastAsia"/>
                <w:sz w:val="24"/>
              </w:rPr>
              <w:t>法定代表人姓名</w:t>
            </w:r>
          </w:p>
        </w:tc>
        <w:tc>
          <w:tcPr>
            <w:tcW w:w="1843" w:type="dxa"/>
            <w:tcBorders>
              <w:right w:val="single" w:sz="4" w:space="0" w:color="auto"/>
            </w:tcBorders>
            <w:vAlign w:val="center"/>
          </w:tcPr>
          <w:p w:rsidR="007B1806" w:rsidRPr="00654582" w:rsidRDefault="007B1806" w:rsidP="008E681A">
            <w:pPr>
              <w:jc w:val="center"/>
              <w:rPr>
                <w:sz w:val="24"/>
              </w:rPr>
            </w:pPr>
            <w:r w:rsidRPr="00654582">
              <w:rPr>
                <w:rFonts w:hint="eastAsia"/>
                <w:sz w:val="24"/>
              </w:rPr>
              <w:t>主要违法事实</w:t>
            </w:r>
          </w:p>
        </w:tc>
        <w:tc>
          <w:tcPr>
            <w:tcW w:w="3543" w:type="dxa"/>
            <w:tcBorders>
              <w:left w:val="single" w:sz="4" w:space="0" w:color="auto"/>
            </w:tcBorders>
            <w:vAlign w:val="center"/>
          </w:tcPr>
          <w:p w:rsidR="007B1806" w:rsidRPr="00654582" w:rsidRDefault="007B1806" w:rsidP="008E681A">
            <w:pPr>
              <w:jc w:val="center"/>
              <w:rPr>
                <w:sz w:val="24"/>
              </w:rPr>
            </w:pPr>
            <w:r w:rsidRPr="00654582">
              <w:rPr>
                <w:rFonts w:hint="eastAsia"/>
                <w:sz w:val="24"/>
              </w:rPr>
              <w:t>行政处罚的种类和依据</w:t>
            </w:r>
          </w:p>
        </w:tc>
        <w:tc>
          <w:tcPr>
            <w:tcW w:w="1701" w:type="dxa"/>
            <w:vAlign w:val="center"/>
          </w:tcPr>
          <w:p w:rsidR="007B1806" w:rsidRPr="00654582" w:rsidRDefault="007B1806" w:rsidP="008E681A">
            <w:pPr>
              <w:jc w:val="center"/>
              <w:rPr>
                <w:sz w:val="24"/>
              </w:rPr>
            </w:pPr>
            <w:r w:rsidRPr="00654582">
              <w:rPr>
                <w:rFonts w:hint="eastAsia"/>
                <w:sz w:val="24"/>
              </w:rPr>
              <w:t>行政处罚的履行方式和期限</w:t>
            </w:r>
          </w:p>
        </w:tc>
        <w:tc>
          <w:tcPr>
            <w:tcW w:w="851" w:type="dxa"/>
            <w:vAlign w:val="center"/>
          </w:tcPr>
          <w:p w:rsidR="007B1806" w:rsidRPr="00654582" w:rsidRDefault="007B1806" w:rsidP="008E681A">
            <w:pPr>
              <w:jc w:val="center"/>
              <w:rPr>
                <w:sz w:val="24"/>
              </w:rPr>
            </w:pPr>
            <w:r w:rsidRPr="00654582">
              <w:rPr>
                <w:rFonts w:hint="eastAsia"/>
                <w:sz w:val="24"/>
              </w:rPr>
              <w:t>作出处罚的日期</w:t>
            </w:r>
          </w:p>
        </w:tc>
      </w:tr>
      <w:tr w:rsidR="007B1806" w:rsidRPr="004D56B0" w:rsidTr="00DC553C">
        <w:trPr>
          <w:trHeight w:val="1018"/>
        </w:trPr>
        <w:tc>
          <w:tcPr>
            <w:tcW w:w="392" w:type="dxa"/>
            <w:vAlign w:val="center"/>
          </w:tcPr>
          <w:p w:rsidR="007B1806" w:rsidRPr="00654582" w:rsidRDefault="007B1806" w:rsidP="00965E9E">
            <w:pPr>
              <w:jc w:val="center"/>
              <w:rPr>
                <w:sz w:val="24"/>
              </w:rPr>
            </w:pPr>
            <w:r w:rsidRPr="00654582">
              <w:rPr>
                <w:sz w:val="24"/>
              </w:rPr>
              <w:t>1</w:t>
            </w:r>
          </w:p>
        </w:tc>
        <w:tc>
          <w:tcPr>
            <w:tcW w:w="1276" w:type="dxa"/>
            <w:vAlign w:val="center"/>
          </w:tcPr>
          <w:p w:rsidR="007B1806" w:rsidRPr="00BC2003" w:rsidRDefault="007B1806" w:rsidP="00BB032D">
            <w:pPr>
              <w:jc w:val="center"/>
              <w:rPr>
                <w:sz w:val="24"/>
              </w:rPr>
            </w:pPr>
            <w:r w:rsidRPr="00BC2003">
              <w:rPr>
                <w:rFonts w:hint="eastAsia"/>
                <w:sz w:val="24"/>
              </w:rPr>
              <w:t>（西）</w:t>
            </w:r>
            <w:r w:rsidR="00BB032D">
              <w:rPr>
                <w:rFonts w:hint="eastAsia"/>
                <w:sz w:val="24"/>
              </w:rPr>
              <w:t>市</w:t>
            </w:r>
            <w:r w:rsidRPr="00BC2003">
              <w:rPr>
                <w:rFonts w:hint="eastAsia"/>
                <w:sz w:val="24"/>
              </w:rPr>
              <w:t>监药罚</w:t>
            </w:r>
            <w:r w:rsidRPr="00BC2003">
              <w:rPr>
                <w:sz w:val="24"/>
              </w:rPr>
              <w:t>[201</w:t>
            </w:r>
            <w:r w:rsidR="00BB032D">
              <w:rPr>
                <w:rFonts w:hint="eastAsia"/>
                <w:sz w:val="24"/>
              </w:rPr>
              <w:t>9</w:t>
            </w:r>
            <w:r w:rsidRPr="00BC2003">
              <w:rPr>
                <w:sz w:val="24"/>
              </w:rPr>
              <w:t>]</w:t>
            </w:r>
            <w:r w:rsidR="00BB032D">
              <w:rPr>
                <w:rFonts w:hint="eastAsia"/>
                <w:sz w:val="24"/>
              </w:rPr>
              <w:t>13</w:t>
            </w:r>
            <w:r w:rsidRPr="00BC2003">
              <w:rPr>
                <w:rFonts w:hint="eastAsia"/>
                <w:sz w:val="24"/>
              </w:rPr>
              <w:t>号</w:t>
            </w:r>
          </w:p>
        </w:tc>
        <w:tc>
          <w:tcPr>
            <w:tcW w:w="2126" w:type="dxa"/>
            <w:vAlign w:val="center"/>
          </w:tcPr>
          <w:p w:rsidR="007B1806" w:rsidRPr="00BC2003" w:rsidRDefault="00BB032D">
            <w:pPr>
              <w:rPr>
                <w:sz w:val="24"/>
              </w:rPr>
            </w:pPr>
            <w:r>
              <w:rPr>
                <w:rFonts w:hint="eastAsia"/>
                <w:sz w:val="24"/>
              </w:rPr>
              <w:t>陕西怡康医药有限责任公司销售劣药“麦芽”案</w:t>
            </w:r>
          </w:p>
        </w:tc>
        <w:tc>
          <w:tcPr>
            <w:tcW w:w="992" w:type="dxa"/>
            <w:vAlign w:val="center"/>
          </w:tcPr>
          <w:p w:rsidR="007B1806" w:rsidRPr="00BC2003" w:rsidRDefault="00BB032D" w:rsidP="00895DD4">
            <w:pPr>
              <w:jc w:val="center"/>
              <w:rPr>
                <w:sz w:val="24"/>
              </w:rPr>
            </w:pPr>
            <w:r>
              <w:rPr>
                <w:rFonts w:hint="eastAsia"/>
                <w:sz w:val="24"/>
              </w:rPr>
              <w:t>陕西怡康医药有限责任公司</w:t>
            </w:r>
          </w:p>
        </w:tc>
        <w:tc>
          <w:tcPr>
            <w:tcW w:w="1418" w:type="dxa"/>
            <w:vAlign w:val="center"/>
          </w:tcPr>
          <w:p w:rsidR="007B1806" w:rsidRPr="00BC2003" w:rsidRDefault="00BB032D" w:rsidP="002300B7">
            <w:pPr>
              <w:rPr>
                <w:sz w:val="24"/>
              </w:rPr>
            </w:pPr>
            <w:r>
              <w:rPr>
                <w:rFonts w:hint="eastAsia"/>
                <w:sz w:val="24"/>
              </w:rPr>
              <w:t>91610000745039137D</w:t>
            </w:r>
          </w:p>
        </w:tc>
        <w:tc>
          <w:tcPr>
            <w:tcW w:w="992" w:type="dxa"/>
            <w:vAlign w:val="center"/>
          </w:tcPr>
          <w:p w:rsidR="007B1806" w:rsidRPr="00BC2003" w:rsidRDefault="00BB032D" w:rsidP="002300B7">
            <w:pPr>
              <w:jc w:val="center"/>
              <w:rPr>
                <w:sz w:val="24"/>
              </w:rPr>
            </w:pPr>
            <w:r>
              <w:rPr>
                <w:rFonts w:hint="eastAsia"/>
                <w:sz w:val="24"/>
              </w:rPr>
              <w:t>何煜</w:t>
            </w:r>
          </w:p>
        </w:tc>
        <w:tc>
          <w:tcPr>
            <w:tcW w:w="1843" w:type="dxa"/>
            <w:tcBorders>
              <w:right w:val="single" w:sz="4" w:space="0" w:color="auto"/>
            </w:tcBorders>
            <w:vAlign w:val="center"/>
          </w:tcPr>
          <w:p w:rsidR="007B1806" w:rsidRPr="00BC2003" w:rsidRDefault="00BB032D" w:rsidP="00DC553C">
            <w:pPr>
              <w:jc w:val="left"/>
              <w:rPr>
                <w:sz w:val="24"/>
              </w:rPr>
            </w:pPr>
            <w:r w:rsidRPr="00BB032D">
              <w:rPr>
                <w:rFonts w:hint="eastAsia"/>
                <w:sz w:val="24"/>
              </w:rPr>
              <w:t>陕西怡康医药有限责任公司经营的标识陕西康超康健药业有限公司生产的批号为</w:t>
            </w:r>
            <w:r w:rsidRPr="00BB032D">
              <w:rPr>
                <w:rFonts w:hint="eastAsia"/>
                <w:sz w:val="24"/>
              </w:rPr>
              <w:t>181101</w:t>
            </w:r>
            <w:r w:rsidRPr="00BB032D">
              <w:rPr>
                <w:rFonts w:hint="eastAsia"/>
                <w:sz w:val="24"/>
              </w:rPr>
              <w:t>的“麦芽”，经检验，性状项和检查项下出芽率项不符合规定，结论为不符合规定。</w:t>
            </w:r>
          </w:p>
        </w:tc>
        <w:tc>
          <w:tcPr>
            <w:tcW w:w="3543" w:type="dxa"/>
            <w:tcBorders>
              <w:left w:val="single" w:sz="4" w:space="0" w:color="auto"/>
            </w:tcBorders>
            <w:vAlign w:val="center"/>
          </w:tcPr>
          <w:p w:rsidR="007B1806" w:rsidRPr="00FC3DD0" w:rsidRDefault="007B1806" w:rsidP="00720253">
            <w:pPr>
              <w:rPr>
                <w:sz w:val="24"/>
              </w:rPr>
            </w:pPr>
            <w:r>
              <w:rPr>
                <w:rFonts w:hint="eastAsia"/>
                <w:sz w:val="24"/>
              </w:rPr>
              <w:t>处罚种类：</w:t>
            </w:r>
            <w:r w:rsidR="00BB032D" w:rsidRPr="00BB032D">
              <w:rPr>
                <w:rFonts w:hint="eastAsia"/>
                <w:sz w:val="24"/>
              </w:rPr>
              <w:t>陕西怡康医药有限责任公司在经营上述药品时，能够按照《药品经营质量管理规范》相关要求开展经营活动，履行入库验收、养护、出库复核等责任，索取药品出厂检验报告，事发前不知道所销售的药品为劣药，依据《中华人民共和国药品管理法实施条例》第七十五条，《陕西省食品药品行政处罚自由裁量基准（药品类）（试行）》第三条第（二）款</w:t>
            </w:r>
            <w:r w:rsidR="00BB032D">
              <w:rPr>
                <w:rFonts w:hint="eastAsia"/>
                <w:sz w:val="24"/>
              </w:rPr>
              <w:t>对该公司处以</w:t>
            </w:r>
            <w:r w:rsidR="00BB032D" w:rsidRPr="00BB032D">
              <w:rPr>
                <w:rFonts w:hint="eastAsia"/>
                <w:sz w:val="24"/>
              </w:rPr>
              <w:t>没收违法所得</w:t>
            </w:r>
            <w:r w:rsidR="00BB032D" w:rsidRPr="00BB032D">
              <w:rPr>
                <w:rFonts w:hint="eastAsia"/>
                <w:sz w:val="24"/>
              </w:rPr>
              <w:t>18</w:t>
            </w:r>
            <w:r w:rsidR="00BB032D" w:rsidRPr="00BB032D">
              <w:rPr>
                <w:rFonts w:hint="eastAsia"/>
                <w:sz w:val="24"/>
              </w:rPr>
              <w:t>元</w:t>
            </w:r>
            <w:r w:rsidR="00BB032D">
              <w:rPr>
                <w:rFonts w:hint="eastAsia"/>
                <w:sz w:val="24"/>
              </w:rPr>
              <w:t>。</w:t>
            </w:r>
          </w:p>
        </w:tc>
        <w:tc>
          <w:tcPr>
            <w:tcW w:w="1701" w:type="dxa"/>
            <w:vAlign w:val="center"/>
          </w:tcPr>
          <w:p w:rsidR="007B1806" w:rsidRPr="00BC2003" w:rsidRDefault="007B1806" w:rsidP="00C73E11">
            <w:pPr>
              <w:jc w:val="center"/>
              <w:rPr>
                <w:sz w:val="24"/>
              </w:rPr>
            </w:pPr>
            <w:r w:rsidRPr="00BC2003">
              <w:rPr>
                <w:rFonts w:hint="eastAsia"/>
                <w:sz w:val="24"/>
              </w:rPr>
              <w:t>自动履行</w:t>
            </w:r>
          </w:p>
        </w:tc>
        <w:tc>
          <w:tcPr>
            <w:tcW w:w="851" w:type="dxa"/>
            <w:vAlign w:val="center"/>
          </w:tcPr>
          <w:p w:rsidR="007B1806" w:rsidRPr="00895DD4" w:rsidRDefault="007B1806" w:rsidP="00BB032D">
            <w:pPr>
              <w:jc w:val="center"/>
              <w:rPr>
                <w:sz w:val="24"/>
              </w:rPr>
            </w:pPr>
            <w:r>
              <w:rPr>
                <w:sz w:val="24"/>
              </w:rPr>
              <w:t>20</w:t>
            </w:r>
            <w:r w:rsidR="00BB032D">
              <w:rPr>
                <w:rFonts w:hint="eastAsia"/>
                <w:sz w:val="24"/>
              </w:rPr>
              <w:t>20</w:t>
            </w:r>
            <w:r>
              <w:rPr>
                <w:rFonts w:hint="eastAsia"/>
                <w:sz w:val="24"/>
              </w:rPr>
              <w:t>年</w:t>
            </w:r>
            <w:r w:rsidR="00720253">
              <w:rPr>
                <w:rFonts w:hint="eastAsia"/>
                <w:sz w:val="24"/>
              </w:rPr>
              <w:t>1</w:t>
            </w:r>
            <w:r>
              <w:rPr>
                <w:rFonts w:hint="eastAsia"/>
                <w:sz w:val="24"/>
              </w:rPr>
              <w:t>月</w:t>
            </w:r>
            <w:r w:rsidR="00C73E11">
              <w:rPr>
                <w:rFonts w:hint="eastAsia"/>
                <w:sz w:val="24"/>
              </w:rPr>
              <w:t>1</w:t>
            </w:r>
            <w:r w:rsidR="00BB032D">
              <w:rPr>
                <w:rFonts w:hint="eastAsia"/>
                <w:sz w:val="24"/>
              </w:rPr>
              <w:t>3</w:t>
            </w:r>
            <w:r>
              <w:rPr>
                <w:rFonts w:hint="eastAsia"/>
                <w:sz w:val="24"/>
              </w:rPr>
              <w:t>日</w:t>
            </w:r>
          </w:p>
        </w:tc>
      </w:tr>
    </w:tbl>
    <w:p w:rsidR="007B1806" w:rsidRPr="004B4C09" w:rsidRDefault="007B1806">
      <w:pPr>
        <w:rPr>
          <w:sz w:val="24"/>
        </w:rPr>
      </w:pPr>
    </w:p>
    <w:sectPr w:rsidR="007B1806" w:rsidRPr="004B4C09"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18" w:rsidRDefault="002D4218" w:rsidP="003D67CB">
      <w:r>
        <w:separator/>
      </w:r>
    </w:p>
  </w:endnote>
  <w:endnote w:type="continuationSeparator" w:id="1">
    <w:p w:rsidR="002D4218" w:rsidRDefault="002D4218"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22787B">
    <w:pPr>
      <w:pStyle w:val="a6"/>
      <w:jc w:val="center"/>
    </w:pPr>
    <w:fldSimple w:instr=" PAGE   \* MERGEFORMAT ">
      <w:r w:rsidR="00BB032D" w:rsidRPr="00BB032D">
        <w:rPr>
          <w:noProof/>
          <w:lang w:val="zh-CN"/>
        </w:rPr>
        <w:t>1</w:t>
      </w:r>
    </w:fldSimple>
  </w:p>
  <w:p w:rsidR="007B1806" w:rsidRDefault="007B18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18" w:rsidRDefault="002D4218" w:rsidP="003D67CB">
      <w:r>
        <w:separator/>
      </w:r>
    </w:p>
  </w:footnote>
  <w:footnote w:type="continuationSeparator" w:id="1">
    <w:p w:rsidR="002D4218" w:rsidRDefault="002D4218"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6188"/>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131A1E"/>
    <w:rsid w:val="00157D16"/>
    <w:rsid w:val="001609E3"/>
    <w:rsid w:val="00172FE1"/>
    <w:rsid w:val="001812E6"/>
    <w:rsid w:val="001818DD"/>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4A66"/>
    <w:rsid w:val="0038745F"/>
    <w:rsid w:val="003A1DC4"/>
    <w:rsid w:val="003A3030"/>
    <w:rsid w:val="003A62E6"/>
    <w:rsid w:val="003D67CB"/>
    <w:rsid w:val="00401130"/>
    <w:rsid w:val="004066FF"/>
    <w:rsid w:val="00426867"/>
    <w:rsid w:val="00426A88"/>
    <w:rsid w:val="0043599C"/>
    <w:rsid w:val="00440AE7"/>
    <w:rsid w:val="00442C67"/>
    <w:rsid w:val="004644D8"/>
    <w:rsid w:val="00492074"/>
    <w:rsid w:val="004B1838"/>
    <w:rsid w:val="004B2018"/>
    <w:rsid w:val="004B4C09"/>
    <w:rsid w:val="004B7A48"/>
    <w:rsid w:val="004D02E4"/>
    <w:rsid w:val="004D56B0"/>
    <w:rsid w:val="004D58C0"/>
    <w:rsid w:val="004D6F01"/>
    <w:rsid w:val="004E4F68"/>
    <w:rsid w:val="004E53F0"/>
    <w:rsid w:val="004F1C8B"/>
    <w:rsid w:val="004F5A65"/>
    <w:rsid w:val="004F7CB1"/>
    <w:rsid w:val="004F7D81"/>
    <w:rsid w:val="00506937"/>
    <w:rsid w:val="00514ED8"/>
    <w:rsid w:val="00526FBB"/>
    <w:rsid w:val="00534159"/>
    <w:rsid w:val="00541045"/>
    <w:rsid w:val="005534E8"/>
    <w:rsid w:val="0056382E"/>
    <w:rsid w:val="00564647"/>
    <w:rsid w:val="0057272C"/>
    <w:rsid w:val="00575FBE"/>
    <w:rsid w:val="005804BE"/>
    <w:rsid w:val="00584B8D"/>
    <w:rsid w:val="005B55AB"/>
    <w:rsid w:val="005B7315"/>
    <w:rsid w:val="005D7E42"/>
    <w:rsid w:val="005F304F"/>
    <w:rsid w:val="005F7E63"/>
    <w:rsid w:val="00610F5B"/>
    <w:rsid w:val="00612DAA"/>
    <w:rsid w:val="00636E1F"/>
    <w:rsid w:val="0065283A"/>
    <w:rsid w:val="00654582"/>
    <w:rsid w:val="0066785C"/>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2AA6"/>
    <w:rsid w:val="007A7B71"/>
    <w:rsid w:val="007B1806"/>
    <w:rsid w:val="007B21F7"/>
    <w:rsid w:val="007D5C4A"/>
    <w:rsid w:val="007E3F21"/>
    <w:rsid w:val="007E7EDB"/>
    <w:rsid w:val="007F472B"/>
    <w:rsid w:val="00815D3B"/>
    <w:rsid w:val="008273EC"/>
    <w:rsid w:val="0083490B"/>
    <w:rsid w:val="008624F7"/>
    <w:rsid w:val="00880888"/>
    <w:rsid w:val="00895DD4"/>
    <w:rsid w:val="008E681A"/>
    <w:rsid w:val="008F63BC"/>
    <w:rsid w:val="009019A8"/>
    <w:rsid w:val="009064F0"/>
    <w:rsid w:val="0092175B"/>
    <w:rsid w:val="00925F34"/>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6179"/>
    <w:rsid w:val="00A7736F"/>
    <w:rsid w:val="00A84376"/>
    <w:rsid w:val="00AA6537"/>
    <w:rsid w:val="00AB432D"/>
    <w:rsid w:val="00AC220F"/>
    <w:rsid w:val="00AC7D82"/>
    <w:rsid w:val="00AD34C8"/>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B032D"/>
    <w:rsid w:val="00BB65D1"/>
    <w:rsid w:val="00BC12C0"/>
    <w:rsid w:val="00BC2003"/>
    <w:rsid w:val="00BD01CF"/>
    <w:rsid w:val="00BD7878"/>
    <w:rsid w:val="00BE26DF"/>
    <w:rsid w:val="00BE374A"/>
    <w:rsid w:val="00BE583A"/>
    <w:rsid w:val="00C0699D"/>
    <w:rsid w:val="00C06BE8"/>
    <w:rsid w:val="00C24F9C"/>
    <w:rsid w:val="00C55291"/>
    <w:rsid w:val="00C73E11"/>
    <w:rsid w:val="00CA5A9F"/>
    <w:rsid w:val="00CA7C79"/>
    <w:rsid w:val="00CB3109"/>
    <w:rsid w:val="00CC1F00"/>
    <w:rsid w:val="00CF2347"/>
    <w:rsid w:val="00CF2C45"/>
    <w:rsid w:val="00D01C32"/>
    <w:rsid w:val="00D043EC"/>
    <w:rsid w:val="00D23B4A"/>
    <w:rsid w:val="00D262AF"/>
    <w:rsid w:val="00D46BAB"/>
    <w:rsid w:val="00D62927"/>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64A75"/>
    <w:rsid w:val="00F7620A"/>
    <w:rsid w:val="00F866E7"/>
    <w:rsid w:val="00F96554"/>
    <w:rsid w:val="00FA2625"/>
    <w:rsid w:val="00FA5865"/>
    <w:rsid w:val="00FB04E8"/>
    <w:rsid w:val="00FB26F7"/>
    <w:rsid w:val="00FB6D09"/>
    <w:rsid w:val="00FC2B7C"/>
    <w:rsid w:val="00FC3DD0"/>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71</Words>
  <Characters>411</Characters>
  <Application>Microsoft Office Word</Application>
  <DocSecurity>0</DocSecurity>
  <Lines>3</Lines>
  <Paragraphs>1</Paragraphs>
  <ScaleCrop>false</ScaleCrop>
  <Company>Lenovo (Beijing) Limited</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Microsoft</cp:lastModifiedBy>
  <cp:revision>155</cp:revision>
  <cp:lastPrinted>2015-08-17T02:39:00Z</cp:lastPrinted>
  <dcterms:created xsi:type="dcterms:W3CDTF">2014-07-25T02:02:00Z</dcterms:created>
  <dcterms:modified xsi:type="dcterms:W3CDTF">2020-03-20T02:13:00Z</dcterms:modified>
</cp:coreProperties>
</file>